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4E61F" w14:textId="77777777" w:rsidR="00593BDF" w:rsidRPr="00657435" w:rsidRDefault="00593BDF" w:rsidP="00657435">
      <w:pPr>
        <w:tabs>
          <w:tab w:val="left" w:pos="142"/>
          <w:tab w:val="left" w:pos="284"/>
          <w:tab w:val="left" w:pos="426"/>
        </w:tabs>
        <w:spacing w:after="0" w:line="240" w:lineRule="auto"/>
        <w:contextualSpacing/>
        <w:jc w:val="center"/>
        <w:rPr>
          <w:rFonts w:ascii="Garamond" w:hAnsi="Garamond" w:cs="Times New Roman"/>
          <w:b/>
          <w:bCs/>
          <w:noProof/>
          <w:sz w:val="34"/>
          <w:szCs w:val="34"/>
          <w:lang w:val="en-US"/>
        </w:rPr>
      </w:pPr>
      <w:bookmarkStart w:id="0" w:name="_Hlk199755655"/>
      <w:r w:rsidRPr="00657435">
        <w:rPr>
          <w:rFonts w:ascii="Garamond" w:hAnsi="Garamond" w:cs="Times New Roman"/>
          <w:b/>
          <w:bCs/>
          <w:noProof/>
          <w:sz w:val="34"/>
          <w:szCs w:val="34"/>
          <w:lang w:val="en-US"/>
        </w:rPr>
        <w:t>Advancing Theoretical Coherence in Critical Thinking: Dual-Synthesis Study for Primary Science Education in Society 5.0</w:t>
      </w:r>
    </w:p>
    <w:p w14:paraId="0F1D0604" w14:textId="190928F4" w:rsidR="00653A99" w:rsidRPr="00657435" w:rsidRDefault="00653A99" w:rsidP="00657435">
      <w:pPr>
        <w:tabs>
          <w:tab w:val="left" w:pos="142"/>
          <w:tab w:val="left" w:pos="284"/>
          <w:tab w:val="left" w:pos="426"/>
        </w:tabs>
        <w:spacing w:after="0" w:line="240" w:lineRule="auto"/>
        <w:jc w:val="both"/>
        <w:rPr>
          <w:rFonts w:ascii="Garamond" w:hAnsi="Garamond" w:cs="Times New Roman"/>
          <w:b/>
          <w:bCs/>
          <w:sz w:val="26"/>
          <w:szCs w:val="26"/>
        </w:rPr>
      </w:pPr>
    </w:p>
    <w:p w14:paraId="7CE0C686" w14:textId="5589E9B7" w:rsidR="00657435" w:rsidRPr="00657435" w:rsidRDefault="00593BDF" w:rsidP="00657435">
      <w:pPr>
        <w:tabs>
          <w:tab w:val="left" w:pos="142"/>
          <w:tab w:val="left" w:pos="284"/>
          <w:tab w:val="left" w:pos="426"/>
        </w:tabs>
        <w:spacing w:after="0" w:line="240" w:lineRule="auto"/>
        <w:contextualSpacing/>
        <w:jc w:val="both"/>
        <w:rPr>
          <w:rFonts w:ascii="Garamond" w:hAnsi="Garamond" w:cs="Times New Roman"/>
          <w:sz w:val="30"/>
          <w:szCs w:val="30"/>
          <w:vertAlign w:val="superscript"/>
        </w:rPr>
      </w:pPr>
      <w:r w:rsidRPr="00657435">
        <w:rPr>
          <w:rFonts w:ascii="Garamond" w:hAnsi="Garamond" w:cs="Times New Roman"/>
          <w:noProof/>
          <w:sz w:val="30"/>
          <w:szCs w:val="30"/>
          <w:lang w:val="en-US"/>
        </w:rPr>
        <w:t>Primus Devra Raihan</w:t>
      </w:r>
      <w:r w:rsidRPr="00657435">
        <w:rPr>
          <w:rFonts w:ascii="Garamond" w:hAnsi="Garamond" w:cs="Times New Roman"/>
          <w:noProof/>
          <w:sz w:val="30"/>
          <w:szCs w:val="30"/>
          <w:lang w:val="id-ID"/>
        </w:rPr>
        <w:t>*</w:t>
      </w:r>
      <w:r w:rsidR="00657435">
        <w:rPr>
          <w:rFonts w:ascii="Garamond" w:hAnsi="Garamond" w:cs="Times New Roman"/>
          <w:noProof/>
          <w:sz w:val="30"/>
          <w:szCs w:val="30"/>
          <w:vertAlign w:val="superscript"/>
          <w:lang w:val="id-ID"/>
        </w:rPr>
        <w:t>1</w:t>
      </w:r>
      <w:r w:rsidR="00657435" w:rsidRPr="00657435">
        <w:rPr>
          <w:rFonts w:ascii="Garamond" w:hAnsi="Garamond" w:cs="Times New Roman"/>
          <w:noProof/>
          <w:sz w:val="30"/>
          <w:szCs w:val="30"/>
          <w:lang w:val="id-ID"/>
        </w:rPr>
        <w:t xml:space="preserve">, </w:t>
      </w:r>
      <w:r w:rsidR="00657435" w:rsidRPr="00657435">
        <w:rPr>
          <w:rFonts w:ascii="Garamond" w:hAnsi="Garamond" w:cs="Times New Roman"/>
          <w:noProof/>
          <w:sz w:val="30"/>
          <w:szCs w:val="30"/>
          <w:lang w:val="en-US"/>
        </w:rPr>
        <w:t>Ali Mustadi</w:t>
      </w:r>
      <w:r w:rsidR="00657435">
        <w:rPr>
          <w:rFonts w:ascii="Garamond" w:hAnsi="Garamond" w:cs="Times New Roman"/>
          <w:noProof/>
          <w:sz w:val="30"/>
          <w:szCs w:val="30"/>
          <w:vertAlign w:val="superscript"/>
          <w:lang w:val="en-US"/>
        </w:rPr>
        <w:t>2</w:t>
      </w:r>
      <w:r w:rsidR="00657435" w:rsidRPr="00657435">
        <w:rPr>
          <w:rFonts w:ascii="Garamond" w:hAnsi="Garamond" w:cs="Times New Roman"/>
          <w:noProof/>
          <w:sz w:val="30"/>
          <w:szCs w:val="30"/>
          <w:lang w:val="en-US"/>
        </w:rPr>
        <w:t xml:space="preserve">, </w:t>
      </w:r>
      <w:r w:rsidR="00657435" w:rsidRPr="00657435">
        <w:rPr>
          <w:rFonts w:ascii="Garamond" w:hAnsi="Garamond" w:cs="Times New Roman"/>
          <w:sz w:val="30"/>
          <w:szCs w:val="30"/>
        </w:rPr>
        <w:t>Woro Sri Hastuti</w:t>
      </w:r>
      <w:r w:rsidR="00657435">
        <w:rPr>
          <w:rFonts w:ascii="Garamond" w:hAnsi="Garamond" w:cs="Times New Roman"/>
          <w:sz w:val="30"/>
          <w:szCs w:val="30"/>
          <w:vertAlign w:val="superscript"/>
        </w:rPr>
        <w:t>3</w:t>
      </w:r>
      <w:r w:rsidR="00657435" w:rsidRPr="00657435">
        <w:rPr>
          <w:rFonts w:ascii="Garamond" w:hAnsi="Garamond" w:cs="Times New Roman"/>
          <w:sz w:val="30"/>
          <w:szCs w:val="30"/>
        </w:rPr>
        <w:t xml:space="preserve">, </w:t>
      </w:r>
      <w:r w:rsidR="00657435" w:rsidRPr="00657435">
        <w:rPr>
          <w:rFonts w:ascii="Garamond" w:hAnsi="Garamond" w:cs="Times New Roman"/>
          <w:sz w:val="30"/>
          <w:szCs w:val="30"/>
        </w:rPr>
        <w:t xml:space="preserve">Maria </w:t>
      </w:r>
      <w:proofErr w:type="spellStart"/>
      <w:r w:rsidR="00657435" w:rsidRPr="00657435">
        <w:rPr>
          <w:rFonts w:ascii="Garamond" w:hAnsi="Garamond" w:cs="Times New Roman"/>
          <w:sz w:val="30"/>
          <w:szCs w:val="30"/>
        </w:rPr>
        <w:t>Ulfa</w:t>
      </w:r>
      <w:proofErr w:type="spellEnd"/>
      <w:r w:rsidR="00657435" w:rsidRPr="00657435">
        <w:rPr>
          <w:rFonts w:ascii="Garamond" w:hAnsi="Garamond" w:cs="Times New Roman"/>
          <w:sz w:val="30"/>
          <w:szCs w:val="30"/>
        </w:rPr>
        <w:t xml:space="preserve"> Yudha Julistiyana</w:t>
      </w:r>
      <w:r w:rsidR="00657435">
        <w:rPr>
          <w:rFonts w:ascii="Garamond" w:hAnsi="Garamond" w:cs="Times New Roman"/>
          <w:sz w:val="30"/>
          <w:szCs w:val="30"/>
          <w:vertAlign w:val="superscript"/>
        </w:rPr>
        <w:t>4</w:t>
      </w:r>
      <w:r w:rsidR="00657435" w:rsidRPr="00657435">
        <w:rPr>
          <w:rFonts w:ascii="Garamond" w:hAnsi="Garamond" w:cs="Times New Roman"/>
          <w:sz w:val="30"/>
          <w:szCs w:val="30"/>
        </w:rPr>
        <w:t xml:space="preserve">, </w:t>
      </w:r>
      <w:r w:rsidR="00657435" w:rsidRPr="00657435">
        <w:rPr>
          <w:rFonts w:ascii="Garamond" w:hAnsi="Garamond" w:cs="Times New Roman"/>
          <w:sz w:val="30"/>
          <w:szCs w:val="30"/>
        </w:rPr>
        <w:t>Sasmita Sari</w:t>
      </w:r>
      <w:r w:rsidR="00657435">
        <w:rPr>
          <w:rFonts w:ascii="Garamond" w:hAnsi="Garamond" w:cs="Times New Roman"/>
          <w:sz w:val="30"/>
          <w:szCs w:val="30"/>
          <w:vertAlign w:val="superscript"/>
        </w:rPr>
        <w:t>5</w:t>
      </w:r>
      <w:r w:rsidR="00657435" w:rsidRPr="00657435">
        <w:rPr>
          <w:rFonts w:ascii="Garamond" w:hAnsi="Garamond" w:cs="Times New Roman"/>
          <w:sz w:val="30"/>
          <w:szCs w:val="30"/>
        </w:rPr>
        <w:t xml:space="preserve">, </w:t>
      </w:r>
      <w:r w:rsidR="00657435" w:rsidRPr="00657435">
        <w:rPr>
          <w:rFonts w:ascii="Garamond" w:hAnsi="Garamond" w:cs="Times New Roman"/>
          <w:sz w:val="30"/>
          <w:szCs w:val="30"/>
        </w:rPr>
        <w:t>Agil Aryanto</w:t>
      </w:r>
      <w:r w:rsidR="00657435">
        <w:rPr>
          <w:rFonts w:ascii="Garamond" w:hAnsi="Garamond" w:cs="Times New Roman"/>
          <w:sz w:val="30"/>
          <w:szCs w:val="30"/>
          <w:vertAlign w:val="superscript"/>
        </w:rPr>
        <w:t>6</w:t>
      </w:r>
    </w:p>
    <w:p w14:paraId="4135612B" w14:textId="562CF64B" w:rsidR="00593BDF" w:rsidRDefault="00593BDF" w:rsidP="00657435">
      <w:pPr>
        <w:tabs>
          <w:tab w:val="left" w:pos="142"/>
          <w:tab w:val="left" w:pos="284"/>
          <w:tab w:val="left" w:pos="426"/>
        </w:tabs>
        <w:spacing w:after="0" w:line="240" w:lineRule="auto"/>
        <w:contextualSpacing/>
        <w:jc w:val="both"/>
        <w:rPr>
          <w:rFonts w:ascii="Garamond" w:hAnsi="Garamond" w:cs="Times New Roman"/>
          <w:noProof/>
          <w:sz w:val="26"/>
          <w:szCs w:val="26"/>
          <w:lang w:val="id-ID"/>
        </w:rPr>
      </w:pPr>
    </w:p>
    <w:p w14:paraId="21E49A0C" w14:textId="6EA3CF80" w:rsidR="00593BDF" w:rsidRPr="00657435" w:rsidRDefault="00593BDF" w:rsidP="00657435">
      <w:pPr>
        <w:pStyle w:val="ListParagraph"/>
        <w:numPr>
          <w:ilvl w:val="0"/>
          <w:numId w:val="8"/>
        </w:numPr>
        <w:tabs>
          <w:tab w:val="left" w:pos="142"/>
          <w:tab w:val="left" w:pos="284"/>
          <w:tab w:val="left" w:pos="426"/>
        </w:tabs>
        <w:spacing w:after="0" w:line="240" w:lineRule="auto"/>
        <w:ind w:left="0" w:firstLine="0"/>
        <w:jc w:val="both"/>
        <w:rPr>
          <w:rFonts w:ascii="Garamond" w:hAnsi="Garamond" w:cs="Times New Roman"/>
          <w:noProof/>
          <w:sz w:val="26"/>
          <w:szCs w:val="26"/>
          <w:lang w:val="id-ID"/>
        </w:rPr>
      </w:pPr>
      <w:r w:rsidRPr="00657435">
        <w:rPr>
          <w:rFonts w:ascii="Garamond" w:hAnsi="Garamond" w:cs="Times New Roman"/>
          <w:noProof/>
          <w:sz w:val="26"/>
          <w:szCs w:val="26"/>
          <w:lang w:val="id-ID"/>
        </w:rPr>
        <w:t xml:space="preserve">Doctoral Program </w:t>
      </w:r>
      <w:r w:rsidRPr="00657435">
        <w:rPr>
          <w:rFonts w:ascii="Garamond" w:hAnsi="Garamond" w:cs="Times New Roman"/>
          <w:noProof/>
          <w:sz w:val="26"/>
          <w:szCs w:val="26"/>
          <w:lang w:val="en-US"/>
        </w:rPr>
        <w:t>of Elementary</w:t>
      </w:r>
      <w:r w:rsidRPr="00657435">
        <w:rPr>
          <w:rFonts w:ascii="Garamond" w:hAnsi="Garamond" w:cs="Times New Roman"/>
          <w:noProof/>
          <w:sz w:val="26"/>
          <w:szCs w:val="26"/>
          <w:lang w:val="id-ID"/>
        </w:rPr>
        <w:t xml:space="preserve"> Education, Faculty of Educatio, Universitas Negeri Yogyakarta, Yogyakarta, Indonesia</w:t>
      </w:r>
      <w:r w:rsidR="00657435" w:rsidRPr="00657435">
        <w:rPr>
          <w:rFonts w:ascii="Garamond" w:hAnsi="Garamond" w:cs="Times New Roman"/>
          <w:noProof/>
          <w:sz w:val="26"/>
          <w:szCs w:val="26"/>
          <w:lang w:val="id-ID"/>
        </w:rPr>
        <w:t xml:space="preserve">, </w:t>
      </w:r>
      <w:r w:rsidRPr="00657435">
        <w:rPr>
          <w:rStyle w:val="Hyperlink"/>
          <w:rFonts w:ascii="Garamond" w:hAnsi="Garamond" w:cs="Times New Roman"/>
          <w:noProof/>
          <w:color w:val="auto"/>
          <w:sz w:val="26"/>
          <w:szCs w:val="26"/>
          <w:u w:val="none"/>
          <w:lang w:val="id-ID"/>
        </w:rPr>
        <w:t>ORCID ID:</w:t>
      </w:r>
      <w:r w:rsidRPr="00657435">
        <w:rPr>
          <w:rFonts w:ascii="Garamond" w:hAnsi="Garamond" w:cs="Times New Roman"/>
          <w:sz w:val="26"/>
          <w:szCs w:val="26"/>
        </w:rPr>
        <w:t xml:space="preserve"> </w:t>
      </w:r>
      <w:hyperlink r:id="rId8" w:history="1">
        <w:r w:rsidRPr="00657435">
          <w:rPr>
            <w:rStyle w:val="Hyperlink"/>
            <w:rFonts w:ascii="Garamond" w:hAnsi="Garamond" w:cs="Times New Roman"/>
            <w:color w:val="auto"/>
            <w:sz w:val="26"/>
            <w:szCs w:val="26"/>
            <w:u w:val="none"/>
          </w:rPr>
          <w:t>https://orcid.org/0009-0003-0147-8110</w:t>
        </w:r>
      </w:hyperlink>
    </w:p>
    <w:p w14:paraId="069BA2EE" w14:textId="3912F2FF" w:rsidR="00593BDF" w:rsidRPr="00657435" w:rsidRDefault="00593BDF" w:rsidP="00657435">
      <w:pPr>
        <w:pStyle w:val="ListParagraph"/>
        <w:numPr>
          <w:ilvl w:val="0"/>
          <w:numId w:val="8"/>
        </w:numPr>
        <w:tabs>
          <w:tab w:val="left" w:pos="142"/>
          <w:tab w:val="left" w:pos="284"/>
          <w:tab w:val="left" w:pos="426"/>
        </w:tabs>
        <w:spacing w:after="0" w:line="240" w:lineRule="auto"/>
        <w:ind w:left="0" w:firstLine="0"/>
        <w:jc w:val="both"/>
        <w:rPr>
          <w:rFonts w:ascii="Garamond" w:hAnsi="Garamond" w:cs="Times New Roman"/>
          <w:noProof/>
          <w:sz w:val="26"/>
          <w:szCs w:val="26"/>
          <w:lang w:val="id-ID"/>
        </w:rPr>
      </w:pPr>
      <w:r w:rsidRPr="00657435">
        <w:rPr>
          <w:rFonts w:ascii="Garamond" w:hAnsi="Garamond" w:cs="Times New Roman"/>
          <w:noProof/>
          <w:sz w:val="26"/>
          <w:szCs w:val="26"/>
          <w:lang w:val="id-ID"/>
        </w:rPr>
        <w:t>D</w:t>
      </w:r>
      <w:r w:rsidRPr="00657435">
        <w:rPr>
          <w:rFonts w:ascii="Garamond" w:hAnsi="Garamond" w:cs="Times New Roman"/>
          <w:noProof/>
          <w:sz w:val="26"/>
          <w:szCs w:val="26"/>
          <w:lang w:val="en-US"/>
        </w:rPr>
        <w:t>epartment</w:t>
      </w:r>
      <w:r w:rsidRPr="00657435">
        <w:rPr>
          <w:rFonts w:ascii="Garamond" w:hAnsi="Garamond" w:cs="Times New Roman"/>
          <w:noProof/>
          <w:sz w:val="26"/>
          <w:szCs w:val="26"/>
          <w:lang w:val="id-ID"/>
        </w:rPr>
        <w:t xml:space="preserve"> </w:t>
      </w:r>
      <w:r w:rsidRPr="00657435">
        <w:rPr>
          <w:rFonts w:ascii="Garamond" w:hAnsi="Garamond" w:cs="Times New Roman"/>
          <w:noProof/>
          <w:sz w:val="26"/>
          <w:szCs w:val="26"/>
          <w:lang w:val="en-US"/>
        </w:rPr>
        <w:t>of Elementary</w:t>
      </w:r>
      <w:r w:rsidRPr="00657435">
        <w:rPr>
          <w:rFonts w:ascii="Garamond" w:hAnsi="Garamond" w:cs="Times New Roman"/>
          <w:noProof/>
          <w:sz w:val="26"/>
          <w:szCs w:val="26"/>
          <w:lang w:val="id-ID"/>
        </w:rPr>
        <w:t xml:space="preserve"> Education, Faculty of Education, Universitas Negeri Yogyakarta, Yogyakarta, Indonesia.</w:t>
      </w:r>
      <w:r w:rsidR="00657435" w:rsidRPr="00657435">
        <w:rPr>
          <w:rFonts w:ascii="Garamond" w:hAnsi="Garamond" w:cs="Times New Roman"/>
          <w:noProof/>
          <w:sz w:val="26"/>
          <w:szCs w:val="26"/>
          <w:lang w:val="id-ID"/>
        </w:rPr>
        <w:t xml:space="preserve">, </w:t>
      </w:r>
      <w:r w:rsidRPr="00657435">
        <w:rPr>
          <w:rStyle w:val="Hyperlink"/>
          <w:rFonts w:ascii="Garamond" w:hAnsi="Garamond" w:cs="Times New Roman"/>
          <w:noProof/>
          <w:color w:val="auto"/>
          <w:sz w:val="26"/>
          <w:szCs w:val="26"/>
          <w:u w:val="none"/>
          <w:lang w:val="id-ID"/>
        </w:rPr>
        <w:t>ORCID ID:</w:t>
      </w:r>
      <w:r w:rsidRPr="00657435">
        <w:rPr>
          <w:rFonts w:ascii="Garamond" w:hAnsi="Garamond" w:cs="Times New Roman"/>
          <w:sz w:val="26"/>
          <w:szCs w:val="26"/>
        </w:rPr>
        <w:t xml:space="preserve"> </w:t>
      </w:r>
      <w:hyperlink r:id="rId9" w:history="1">
        <w:r w:rsidRPr="00657435">
          <w:rPr>
            <w:rStyle w:val="Hyperlink"/>
            <w:rFonts w:ascii="Garamond" w:hAnsi="Garamond" w:cs="Times New Roman"/>
            <w:color w:val="auto"/>
            <w:sz w:val="26"/>
            <w:szCs w:val="26"/>
            <w:u w:val="none"/>
          </w:rPr>
          <w:t>https://orcid.org/0000-0002-7620-4582</w:t>
        </w:r>
      </w:hyperlink>
      <w:r w:rsidRPr="00657435">
        <w:rPr>
          <w:rFonts w:ascii="Garamond" w:hAnsi="Garamond" w:cs="Times New Roman"/>
          <w:sz w:val="26"/>
          <w:szCs w:val="26"/>
        </w:rPr>
        <w:t xml:space="preserve"> </w:t>
      </w:r>
    </w:p>
    <w:p w14:paraId="35FDC676" w14:textId="39AACD7E" w:rsidR="00593BDF" w:rsidRPr="00657435" w:rsidRDefault="00593BDF" w:rsidP="00657435">
      <w:pPr>
        <w:pStyle w:val="ListParagraph"/>
        <w:numPr>
          <w:ilvl w:val="0"/>
          <w:numId w:val="8"/>
        </w:numPr>
        <w:tabs>
          <w:tab w:val="left" w:pos="142"/>
          <w:tab w:val="left" w:pos="284"/>
          <w:tab w:val="left" w:pos="426"/>
        </w:tabs>
        <w:spacing w:after="0" w:line="240" w:lineRule="auto"/>
        <w:ind w:left="0" w:firstLine="0"/>
        <w:jc w:val="both"/>
        <w:rPr>
          <w:rFonts w:ascii="Garamond" w:hAnsi="Garamond" w:cs="Times New Roman"/>
          <w:sz w:val="26"/>
          <w:szCs w:val="26"/>
        </w:rPr>
      </w:pPr>
      <w:r w:rsidRPr="00657435">
        <w:rPr>
          <w:rFonts w:ascii="Garamond" w:hAnsi="Garamond" w:cs="Times New Roman"/>
          <w:noProof/>
          <w:sz w:val="26"/>
          <w:szCs w:val="26"/>
          <w:lang w:val="id-ID"/>
        </w:rPr>
        <w:t>D</w:t>
      </w:r>
      <w:r w:rsidRPr="00657435">
        <w:rPr>
          <w:rFonts w:ascii="Garamond" w:hAnsi="Garamond" w:cs="Times New Roman"/>
          <w:noProof/>
          <w:sz w:val="26"/>
          <w:szCs w:val="26"/>
          <w:lang w:val="en-US"/>
        </w:rPr>
        <w:t>epartment</w:t>
      </w:r>
      <w:r w:rsidRPr="00657435">
        <w:rPr>
          <w:rFonts w:ascii="Garamond" w:hAnsi="Garamond" w:cs="Times New Roman"/>
          <w:noProof/>
          <w:sz w:val="26"/>
          <w:szCs w:val="26"/>
          <w:lang w:val="id-ID"/>
        </w:rPr>
        <w:t xml:space="preserve"> </w:t>
      </w:r>
      <w:r w:rsidRPr="00657435">
        <w:rPr>
          <w:rFonts w:ascii="Garamond" w:hAnsi="Garamond" w:cs="Times New Roman"/>
          <w:noProof/>
          <w:sz w:val="26"/>
          <w:szCs w:val="26"/>
          <w:lang w:val="en-US"/>
        </w:rPr>
        <w:t>of Elementary</w:t>
      </w:r>
      <w:r w:rsidRPr="00657435">
        <w:rPr>
          <w:rFonts w:ascii="Garamond" w:hAnsi="Garamond" w:cs="Times New Roman"/>
          <w:noProof/>
          <w:sz w:val="26"/>
          <w:szCs w:val="26"/>
          <w:lang w:val="id-ID"/>
        </w:rPr>
        <w:t xml:space="preserve"> Education, Faculty of Education, Universitas Negeri Yogyakarta, Yogyakarta, Indonesia</w:t>
      </w:r>
      <w:r w:rsidR="00657435" w:rsidRPr="00657435">
        <w:rPr>
          <w:rFonts w:ascii="Garamond" w:hAnsi="Garamond" w:cs="Times New Roman"/>
          <w:noProof/>
          <w:sz w:val="26"/>
          <w:szCs w:val="26"/>
          <w:lang w:val="id-ID"/>
        </w:rPr>
        <w:t xml:space="preserve">, </w:t>
      </w:r>
      <w:r w:rsidRPr="00657435">
        <w:rPr>
          <w:rStyle w:val="Hyperlink"/>
          <w:rFonts w:ascii="Garamond" w:hAnsi="Garamond" w:cs="Times New Roman"/>
          <w:noProof/>
          <w:color w:val="auto"/>
          <w:sz w:val="26"/>
          <w:szCs w:val="26"/>
          <w:u w:val="none"/>
          <w:lang w:val="id-ID"/>
        </w:rPr>
        <w:t>ORCID ID:</w:t>
      </w:r>
      <w:r w:rsidRPr="00657435">
        <w:rPr>
          <w:rFonts w:ascii="Garamond" w:hAnsi="Garamond" w:cs="Times New Roman"/>
          <w:sz w:val="26"/>
          <w:szCs w:val="26"/>
        </w:rPr>
        <w:t xml:space="preserve"> </w:t>
      </w:r>
      <w:hyperlink r:id="rId10" w:history="1">
        <w:r w:rsidRPr="00657435">
          <w:rPr>
            <w:rStyle w:val="Hyperlink"/>
            <w:rFonts w:ascii="Garamond" w:hAnsi="Garamond" w:cs="Times New Roman"/>
            <w:color w:val="auto"/>
            <w:sz w:val="26"/>
            <w:szCs w:val="26"/>
            <w:u w:val="none"/>
          </w:rPr>
          <w:t>https://orcid.org/0000-0002-9247-1728</w:t>
        </w:r>
      </w:hyperlink>
      <w:r w:rsidRPr="00657435">
        <w:rPr>
          <w:rFonts w:ascii="Garamond" w:hAnsi="Garamond" w:cs="Times New Roman"/>
          <w:sz w:val="26"/>
          <w:szCs w:val="26"/>
        </w:rPr>
        <w:t xml:space="preserve">  </w:t>
      </w:r>
    </w:p>
    <w:p w14:paraId="43C823AE" w14:textId="2C5F165D" w:rsidR="00593BDF" w:rsidRPr="00657435" w:rsidRDefault="00593BDF" w:rsidP="00657435">
      <w:pPr>
        <w:pStyle w:val="ListParagraph"/>
        <w:numPr>
          <w:ilvl w:val="0"/>
          <w:numId w:val="8"/>
        </w:numPr>
        <w:tabs>
          <w:tab w:val="left" w:pos="142"/>
          <w:tab w:val="left" w:pos="284"/>
          <w:tab w:val="left" w:pos="426"/>
        </w:tabs>
        <w:spacing w:after="0" w:line="240" w:lineRule="auto"/>
        <w:ind w:left="0" w:firstLine="0"/>
        <w:jc w:val="both"/>
        <w:rPr>
          <w:rFonts w:ascii="Garamond" w:hAnsi="Garamond" w:cs="Times New Roman"/>
          <w:noProof/>
          <w:sz w:val="26"/>
          <w:szCs w:val="26"/>
          <w:lang w:val="id-ID"/>
        </w:rPr>
      </w:pPr>
      <w:r w:rsidRPr="00657435">
        <w:rPr>
          <w:rFonts w:ascii="Garamond" w:hAnsi="Garamond" w:cs="Times New Roman"/>
          <w:noProof/>
          <w:sz w:val="26"/>
          <w:szCs w:val="26"/>
          <w:lang w:val="id-ID"/>
        </w:rPr>
        <w:t xml:space="preserve">Doctoral Program </w:t>
      </w:r>
      <w:r w:rsidRPr="00657435">
        <w:rPr>
          <w:rFonts w:ascii="Garamond" w:hAnsi="Garamond" w:cs="Times New Roman"/>
          <w:noProof/>
          <w:sz w:val="26"/>
          <w:szCs w:val="26"/>
          <w:lang w:val="en-US"/>
        </w:rPr>
        <w:t>of Elementary</w:t>
      </w:r>
      <w:r w:rsidRPr="00657435">
        <w:rPr>
          <w:rFonts w:ascii="Garamond" w:hAnsi="Garamond" w:cs="Times New Roman"/>
          <w:noProof/>
          <w:sz w:val="26"/>
          <w:szCs w:val="26"/>
          <w:lang w:val="id-ID"/>
        </w:rPr>
        <w:t xml:space="preserve"> Education, Faculty of Education, Universitas Negeri Yogyakarta, Yogyakarta, Indonesia.</w:t>
      </w:r>
      <w:r w:rsidR="00657435" w:rsidRPr="00657435">
        <w:rPr>
          <w:rFonts w:ascii="Garamond" w:hAnsi="Garamond" w:cs="Times New Roman"/>
          <w:noProof/>
          <w:sz w:val="26"/>
          <w:szCs w:val="26"/>
          <w:lang w:val="id-ID"/>
        </w:rPr>
        <w:t xml:space="preserve">, </w:t>
      </w:r>
      <w:r w:rsidRPr="00657435">
        <w:rPr>
          <w:rStyle w:val="Hyperlink"/>
          <w:rFonts w:ascii="Garamond" w:hAnsi="Garamond" w:cs="Times New Roman"/>
          <w:noProof/>
          <w:color w:val="auto"/>
          <w:sz w:val="26"/>
          <w:szCs w:val="26"/>
          <w:u w:val="none"/>
          <w:lang w:val="id-ID"/>
        </w:rPr>
        <w:t>ORCID ID:</w:t>
      </w:r>
      <w:r w:rsidRPr="00657435">
        <w:rPr>
          <w:rFonts w:ascii="Garamond" w:hAnsi="Garamond" w:cs="Times New Roman"/>
          <w:sz w:val="26"/>
          <w:szCs w:val="26"/>
        </w:rPr>
        <w:t xml:space="preserve"> </w:t>
      </w:r>
      <w:hyperlink r:id="rId11" w:history="1">
        <w:r w:rsidRPr="00657435">
          <w:rPr>
            <w:rStyle w:val="Hyperlink"/>
            <w:rFonts w:ascii="Garamond" w:hAnsi="Garamond"/>
            <w:color w:val="auto"/>
            <w:sz w:val="26"/>
            <w:szCs w:val="26"/>
            <w:u w:val="none"/>
          </w:rPr>
          <w:t>https://orcid.org/0000-0002-4923-2625</w:t>
        </w:r>
      </w:hyperlink>
      <w:r w:rsidRPr="00657435">
        <w:rPr>
          <w:rFonts w:ascii="Garamond" w:hAnsi="Garamond"/>
          <w:sz w:val="26"/>
          <w:szCs w:val="26"/>
        </w:rPr>
        <w:t xml:space="preserve"> </w:t>
      </w:r>
    </w:p>
    <w:p w14:paraId="1B6D48CB" w14:textId="3A7BED0D" w:rsidR="00593BDF" w:rsidRPr="00657435" w:rsidRDefault="00593BDF" w:rsidP="00657435">
      <w:pPr>
        <w:pStyle w:val="ListParagraph"/>
        <w:numPr>
          <w:ilvl w:val="0"/>
          <w:numId w:val="8"/>
        </w:numPr>
        <w:tabs>
          <w:tab w:val="left" w:pos="142"/>
          <w:tab w:val="left" w:pos="284"/>
          <w:tab w:val="left" w:pos="426"/>
        </w:tabs>
        <w:spacing w:after="0" w:line="240" w:lineRule="auto"/>
        <w:ind w:left="0" w:firstLine="0"/>
        <w:jc w:val="both"/>
        <w:rPr>
          <w:rFonts w:ascii="Garamond" w:hAnsi="Garamond" w:cs="Times New Roman"/>
          <w:noProof/>
          <w:sz w:val="26"/>
          <w:szCs w:val="26"/>
          <w:lang w:val="id-ID"/>
        </w:rPr>
      </w:pPr>
      <w:r w:rsidRPr="00657435">
        <w:rPr>
          <w:rFonts w:ascii="Garamond" w:hAnsi="Garamond" w:cs="Times New Roman"/>
          <w:noProof/>
          <w:sz w:val="26"/>
          <w:szCs w:val="26"/>
          <w:lang w:val="id-ID"/>
        </w:rPr>
        <w:t xml:space="preserve">Doctoral Program </w:t>
      </w:r>
      <w:r w:rsidRPr="00657435">
        <w:rPr>
          <w:rFonts w:ascii="Garamond" w:hAnsi="Garamond" w:cs="Times New Roman"/>
          <w:noProof/>
          <w:sz w:val="26"/>
          <w:szCs w:val="26"/>
          <w:lang w:val="en-US"/>
        </w:rPr>
        <w:t>of Elementary</w:t>
      </w:r>
      <w:r w:rsidRPr="00657435">
        <w:rPr>
          <w:rFonts w:ascii="Garamond" w:hAnsi="Garamond" w:cs="Times New Roman"/>
          <w:noProof/>
          <w:sz w:val="26"/>
          <w:szCs w:val="26"/>
          <w:lang w:val="id-ID"/>
        </w:rPr>
        <w:t xml:space="preserve"> Education, Faculty of Education, Universitas Negeri Yogyakarta, Yogyakarta, Indonesia.</w:t>
      </w:r>
      <w:r w:rsidR="00657435" w:rsidRPr="00657435">
        <w:rPr>
          <w:rFonts w:ascii="Garamond" w:hAnsi="Garamond" w:cs="Times New Roman"/>
          <w:noProof/>
          <w:sz w:val="26"/>
          <w:szCs w:val="26"/>
          <w:lang w:val="id-ID"/>
        </w:rPr>
        <w:t xml:space="preserve">, </w:t>
      </w:r>
      <w:r w:rsidRPr="00657435">
        <w:rPr>
          <w:rStyle w:val="Hyperlink"/>
          <w:rFonts w:ascii="Garamond" w:hAnsi="Garamond" w:cs="Times New Roman"/>
          <w:noProof/>
          <w:color w:val="auto"/>
          <w:sz w:val="26"/>
          <w:szCs w:val="26"/>
          <w:u w:val="none"/>
          <w:lang w:val="id-ID"/>
        </w:rPr>
        <w:t>ORCID ID:</w:t>
      </w:r>
      <w:r w:rsidRPr="00657435">
        <w:rPr>
          <w:rFonts w:ascii="Garamond" w:hAnsi="Garamond" w:cs="Times New Roman"/>
          <w:sz w:val="26"/>
          <w:szCs w:val="26"/>
        </w:rPr>
        <w:t xml:space="preserve"> </w:t>
      </w:r>
      <w:hyperlink r:id="rId12" w:history="1">
        <w:r w:rsidRPr="00657435">
          <w:rPr>
            <w:rStyle w:val="Hyperlink"/>
            <w:rFonts w:ascii="Garamond" w:hAnsi="Garamond"/>
            <w:color w:val="auto"/>
            <w:sz w:val="26"/>
            <w:szCs w:val="26"/>
            <w:u w:val="none"/>
          </w:rPr>
          <w:t>https://orcid.org/0009-0000-4600-5374</w:t>
        </w:r>
      </w:hyperlink>
      <w:r w:rsidRPr="00657435">
        <w:rPr>
          <w:rFonts w:ascii="Garamond" w:hAnsi="Garamond"/>
          <w:sz w:val="26"/>
          <w:szCs w:val="26"/>
        </w:rPr>
        <w:t xml:space="preserve"> </w:t>
      </w:r>
    </w:p>
    <w:p w14:paraId="66626CB1" w14:textId="06075481" w:rsidR="00593BDF" w:rsidRPr="00657435" w:rsidRDefault="00593BDF" w:rsidP="00657435">
      <w:pPr>
        <w:pStyle w:val="ListParagraph"/>
        <w:numPr>
          <w:ilvl w:val="0"/>
          <w:numId w:val="8"/>
        </w:numPr>
        <w:tabs>
          <w:tab w:val="left" w:pos="142"/>
          <w:tab w:val="left" w:pos="284"/>
          <w:tab w:val="left" w:pos="426"/>
        </w:tabs>
        <w:spacing w:after="0" w:line="240" w:lineRule="auto"/>
        <w:ind w:left="0" w:firstLine="0"/>
        <w:jc w:val="both"/>
        <w:rPr>
          <w:rFonts w:ascii="Garamond" w:hAnsi="Garamond" w:cs="Times New Roman"/>
          <w:noProof/>
          <w:sz w:val="26"/>
          <w:szCs w:val="26"/>
          <w:lang w:val="id-ID"/>
        </w:rPr>
      </w:pPr>
      <w:r w:rsidRPr="00657435">
        <w:rPr>
          <w:rFonts w:ascii="Garamond" w:hAnsi="Garamond" w:cs="Times New Roman"/>
          <w:noProof/>
          <w:sz w:val="26"/>
          <w:szCs w:val="26"/>
          <w:lang w:val="id-ID"/>
        </w:rPr>
        <w:t>D</w:t>
      </w:r>
      <w:r w:rsidRPr="00657435">
        <w:rPr>
          <w:rFonts w:ascii="Garamond" w:hAnsi="Garamond" w:cs="Times New Roman"/>
          <w:noProof/>
          <w:sz w:val="26"/>
          <w:szCs w:val="26"/>
          <w:lang w:val="en-US"/>
        </w:rPr>
        <w:t>epartment</w:t>
      </w:r>
      <w:r w:rsidRPr="00657435">
        <w:rPr>
          <w:rFonts w:ascii="Garamond" w:hAnsi="Garamond" w:cs="Times New Roman"/>
          <w:noProof/>
          <w:sz w:val="26"/>
          <w:szCs w:val="26"/>
          <w:lang w:val="id-ID"/>
        </w:rPr>
        <w:t xml:space="preserve"> </w:t>
      </w:r>
      <w:r w:rsidRPr="00657435">
        <w:rPr>
          <w:rFonts w:ascii="Garamond" w:hAnsi="Garamond" w:cs="Times New Roman"/>
          <w:noProof/>
          <w:sz w:val="26"/>
          <w:szCs w:val="26"/>
          <w:lang w:val="en-US"/>
        </w:rPr>
        <w:t>of Elementary</w:t>
      </w:r>
      <w:r w:rsidRPr="00657435">
        <w:rPr>
          <w:rFonts w:ascii="Garamond" w:hAnsi="Garamond" w:cs="Times New Roman"/>
          <w:noProof/>
          <w:sz w:val="26"/>
          <w:szCs w:val="26"/>
          <w:lang w:val="id-ID"/>
        </w:rPr>
        <w:t xml:space="preserve"> Education, Faculty of</w:t>
      </w:r>
      <w:r w:rsidRPr="00657435">
        <w:rPr>
          <w:rFonts w:ascii="Garamond" w:hAnsi="Garamond" w:cs="Times New Roman"/>
          <w:noProof/>
          <w:sz w:val="26"/>
          <w:szCs w:val="26"/>
          <w:lang w:val="en-US"/>
        </w:rPr>
        <w:t xml:space="preserve"> Post Graduate</w:t>
      </w:r>
      <w:r w:rsidRPr="00657435">
        <w:rPr>
          <w:rFonts w:ascii="Garamond" w:hAnsi="Garamond" w:cs="Times New Roman"/>
          <w:noProof/>
          <w:sz w:val="26"/>
          <w:szCs w:val="26"/>
          <w:lang w:val="id-ID"/>
        </w:rPr>
        <w:t xml:space="preserve">, Universitas Negeri </w:t>
      </w:r>
      <w:r w:rsidRPr="00657435">
        <w:rPr>
          <w:rFonts w:ascii="Garamond" w:hAnsi="Garamond" w:cs="Times New Roman"/>
          <w:noProof/>
          <w:sz w:val="26"/>
          <w:szCs w:val="26"/>
          <w:lang w:val="en-US"/>
        </w:rPr>
        <w:t>Semaarang</w:t>
      </w:r>
      <w:r w:rsidRPr="00657435">
        <w:rPr>
          <w:rFonts w:ascii="Garamond" w:hAnsi="Garamond" w:cs="Times New Roman"/>
          <w:noProof/>
          <w:sz w:val="26"/>
          <w:szCs w:val="26"/>
          <w:lang w:val="id-ID"/>
        </w:rPr>
        <w:t xml:space="preserve">, </w:t>
      </w:r>
      <w:r w:rsidRPr="00657435">
        <w:rPr>
          <w:rFonts w:ascii="Garamond" w:hAnsi="Garamond" w:cs="Times New Roman"/>
          <w:noProof/>
          <w:sz w:val="26"/>
          <w:szCs w:val="26"/>
          <w:lang w:val="en-US"/>
        </w:rPr>
        <w:t>Semarang</w:t>
      </w:r>
      <w:r w:rsidRPr="00657435">
        <w:rPr>
          <w:rFonts w:ascii="Garamond" w:hAnsi="Garamond" w:cs="Times New Roman"/>
          <w:noProof/>
          <w:sz w:val="26"/>
          <w:szCs w:val="26"/>
          <w:lang w:val="id-ID"/>
        </w:rPr>
        <w:t>, Indonesia.</w:t>
      </w:r>
      <w:r w:rsidR="00657435" w:rsidRPr="00657435">
        <w:rPr>
          <w:rFonts w:ascii="Garamond" w:hAnsi="Garamond" w:cs="Times New Roman"/>
          <w:noProof/>
          <w:sz w:val="26"/>
          <w:szCs w:val="26"/>
          <w:lang w:val="id-ID"/>
        </w:rPr>
        <w:t xml:space="preserve">, </w:t>
      </w:r>
      <w:r w:rsidRPr="00657435">
        <w:rPr>
          <w:rStyle w:val="Hyperlink"/>
          <w:rFonts w:ascii="Garamond" w:hAnsi="Garamond" w:cs="Times New Roman"/>
          <w:noProof/>
          <w:color w:val="auto"/>
          <w:sz w:val="26"/>
          <w:szCs w:val="26"/>
          <w:u w:val="none"/>
          <w:lang w:val="id-ID"/>
        </w:rPr>
        <w:t>ORCID ID:</w:t>
      </w:r>
      <w:r w:rsidRPr="00657435">
        <w:rPr>
          <w:rFonts w:ascii="Garamond" w:hAnsi="Garamond" w:cs="Times New Roman"/>
          <w:sz w:val="26"/>
          <w:szCs w:val="26"/>
        </w:rPr>
        <w:t xml:space="preserve"> </w:t>
      </w:r>
      <w:hyperlink r:id="rId13" w:history="1">
        <w:r w:rsidRPr="00657435">
          <w:rPr>
            <w:rStyle w:val="Hyperlink"/>
            <w:rFonts w:ascii="Garamond" w:hAnsi="Garamond"/>
            <w:color w:val="auto"/>
            <w:sz w:val="26"/>
            <w:szCs w:val="26"/>
            <w:u w:val="none"/>
          </w:rPr>
          <w:t>https://orcid.org/0009-0008-6355-156X</w:t>
        </w:r>
      </w:hyperlink>
      <w:r w:rsidRPr="00657435">
        <w:rPr>
          <w:rFonts w:ascii="Garamond" w:hAnsi="Garamond"/>
          <w:sz w:val="26"/>
          <w:szCs w:val="26"/>
        </w:rPr>
        <w:t xml:space="preserve"> </w:t>
      </w:r>
    </w:p>
    <w:p w14:paraId="68F09CF6" w14:textId="77777777" w:rsidR="00593BDF" w:rsidRPr="00657435" w:rsidRDefault="00593BDF" w:rsidP="00657435">
      <w:pPr>
        <w:tabs>
          <w:tab w:val="left" w:pos="142"/>
          <w:tab w:val="left" w:pos="284"/>
          <w:tab w:val="left" w:pos="426"/>
        </w:tabs>
        <w:spacing w:after="0" w:line="240" w:lineRule="auto"/>
        <w:contextualSpacing/>
        <w:jc w:val="both"/>
        <w:rPr>
          <w:rFonts w:ascii="Garamond" w:hAnsi="Garamond" w:cs="Times New Roman"/>
          <w:noProof/>
          <w:sz w:val="26"/>
          <w:szCs w:val="26"/>
          <w:lang w:val="id-ID"/>
        </w:rPr>
      </w:pPr>
    </w:p>
    <w:p w14:paraId="2682CC62" w14:textId="7E7950C8" w:rsidR="00DA7CDB" w:rsidRPr="00657435" w:rsidRDefault="00DA7CDB"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Abstrak</w:t>
      </w:r>
    </w:p>
    <w:p w14:paraId="6E1CBE14" w14:textId="04B7C6C4" w:rsidR="00F87C59" w:rsidRPr="00657435" w:rsidRDefault="002E2B22"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Critical thinking is essential in primary science education to prepare students for 21st-century challenges and the demands of Society 5.0. However, research in this field remains fragmented due to theoretical gaps and methodological limitations. This study integrates bibliometric analysis and systematic literature review to map research trends, identify antecedents and outcomes, and examine instructional approaches that foster critical thinking. The bibliometric analysis of 161 Scopus-indexed articles shows a growing interest after 2020, dominated by constructivist models. The systematic review of 34 studies identifies 29 antecedents and 17 outcomes across cognitive, instructional, and environmental dimensions. Most studies use quantitative cross-sectional methods, with limited integration of frameworks such as Self-Determination Theory and Social Identity Theory. This study offers a contextual framework for strengthening critical thinking in science education. Future research should employ longitudinal designs, hybrid theoretical approaches, and cross-cultural perspectives to support inclusive and sustainable science learning in digitally transforming educational environments</w:t>
      </w:r>
      <w:r w:rsidR="00F87C59" w:rsidRPr="00657435">
        <w:rPr>
          <w:rFonts w:ascii="Garamond" w:hAnsi="Garamond" w:cs="Times New Roman"/>
          <w:sz w:val="26"/>
          <w:szCs w:val="26"/>
        </w:rPr>
        <w:t>.</w:t>
      </w:r>
    </w:p>
    <w:p w14:paraId="0B196368" w14:textId="29D9E11F" w:rsidR="00DA7CDB" w:rsidRDefault="00DA7CDB"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b/>
          <w:bCs/>
          <w:noProof/>
          <w:sz w:val="26"/>
          <w:szCs w:val="26"/>
        </w:rPr>
        <w:t>Keywords</w:t>
      </w:r>
      <w:r w:rsidR="00F87C59" w:rsidRPr="00657435">
        <w:rPr>
          <w:rFonts w:ascii="Garamond" w:hAnsi="Garamond" w:cs="Times New Roman"/>
          <w:b/>
          <w:bCs/>
          <w:noProof/>
          <w:sz w:val="26"/>
          <w:szCs w:val="26"/>
        </w:rPr>
        <w:t xml:space="preserve">: </w:t>
      </w:r>
      <w:r w:rsidR="00F87C59" w:rsidRPr="00657435">
        <w:rPr>
          <w:rFonts w:ascii="Garamond" w:hAnsi="Garamond" w:cs="Times New Roman"/>
          <w:noProof/>
          <w:sz w:val="26"/>
          <w:szCs w:val="26"/>
        </w:rPr>
        <w:t xml:space="preserve">Critical thinking science, learning </w:t>
      </w:r>
      <w:r w:rsidR="00653A99" w:rsidRPr="00657435">
        <w:rPr>
          <w:rFonts w:ascii="Garamond" w:hAnsi="Garamond" w:cs="Times New Roman"/>
          <w:noProof/>
          <w:sz w:val="26"/>
          <w:szCs w:val="26"/>
        </w:rPr>
        <w:t xml:space="preserve">society 5.0, bibliometric, Systematic Literatur Review, </w:t>
      </w:r>
      <w:r w:rsidR="00653A99" w:rsidRPr="00657435">
        <w:rPr>
          <w:rFonts w:ascii="Garamond" w:hAnsi="Garamond" w:cs="Times New Roman"/>
          <w:sz w:val="26"/>
          <w:szCs w:val="26"/>
        </w:rPr>
        <w:t>Constructivist pedagogy.</w:t>
      </w:r>
    </w:p>
    <w:p w14:paraId="77B08EC6" w14:textId="77777777" w:rsidR="00657435" w:rsidRPr="00657435" w:rsidRDefault="00657435" w:rsidP="00657435">
      <w:pPr>
        <w:tabs>
          <w:tab w:val="left" w:pos="142"/>
          <w:tab w:val="left" w:pos="284"/>
          <w:tab w:val="left" w:pos="426"/>
        </w:tabs>
        <w:spacing w:after="0" w:line="240" w:lineRule="auto"/>
        <w:jc w:val="both"/>
        <w:rPr>
          <w:rFonts w:ascii="Garamond" w:hAnsi="Garamond" w:cs="Times New Roman"/>
          <w:b/>
          <w:bCs/>
          <w:noProof/>
          <w:sz w:val="26"/>
          <w:szCs w:val="26"/>
        </w:rPr>
      </w:pPr>
    </w:p>
    <w:p w14:paraId="291DD5CE" w14:textId="2458A394" w:rsidR="00DA7CDB" w:rsidRPr="00657435" w:rsidRDefault="00657435" w:rsidP="00657435">
      <w:pPr>
        <w:pStyle w:val="ListParagraph"/>
        <w:numPr>
          <w:ilvl w:val="0"/>
          <w:numId w:val="1"/>
        </w:numPr>
        <w:tabs>
          <w:tab w:val="left" w:pos="142"/>
          <w:tab w:val="left" w:pos="284"/>
          <w:tab w:val="left" w:pos="426"/>
        </w:tabs>
        <w:spacing w:after="0" w:line="240" w:lineRule="auto"/>
        <w:ind w:left="0" w:firstLine="0"/>
        <w:jc w:val="center"/>
        <w:rPr>
          <w:rFonts w:ascii="Garamond" w:hAnsi="Garamond" w:cs="Times New Roman"/>
          <w:b/>
          <w:bCs/>
          <w:noProof/>
          <w:sz w:val="26"/>
          <w:szCs w:val="26"/>
        </w:rPr>
      </w:pPr>
      <w:r w:rsidRPr="00657435">
        <w:rPr>
          <w:rFonts w:ascii="Garamond" w:hAnsi="Garamond" w:cs="Times New Roman"/>
          <w:noProof/>
          <w:sz w:val="26"/>
          <w:szCs w:val="26"/>
        </w:rPr>
        <w:t>INTRODUCTION</w:t>
      </w:r>
    </w:p>
    <w:p w14:paraId="1416FE19" w14:textId="77777777" w:rsidR="00657435" w:rsidRDefault="00657435" w:rsidP="00657435">
      <w:pPr>
        <w:tabs>
          <w:tab w:val="left" w:pos="142"/>
          <w:tab w:val="left" w:pos="284"/>
          <w:tab w:val="left" w:pos="426"/>
        </w:tabs>
        <w:spacing w:after="0" w:line="240" w:lineRule="auto"/>
        <w:jc w:val="both"/>
        <w:rPr>
          <w:rFonts w:ascii="Garamond" w:hAnsi="Garamond" w:cs="Times New Roman"/>
          <w:noProof/>
          <w:sz w:val="26"/>
          <w:szCs w:val="26"/>
        </w:rPr>
      </w:pPr>
    </w:p>
    <w:p w14:paraId="631DF5B5" w14:textId="4B6245A7"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In the contemporary educational landscape of the twenty-first century, critical thinking has become an indispensable competency for learners in primary science education. It enables students to analyse information, evaluate evidence, and formulate reasoned decisions in increasingly complex and uncertain real-world contexts (Aprilisa, 2020). The emergence of Society 5.0, characterised by the integration of human capability with advanced technologies such as artificial intelligence, the Internet of Things, and big data, requires that science education moves beyond the transmission of factual knowledge. It must instead cultivate learners who are capable of reflective judgment, scientific reasoning, and adaptive problem-solving within dynamic socio-technological environments (Akman &amp; Erdirençelebi, 2024; Legi et al., 2023; Nisa’ &amp; Isroil, 2024).</w:t>
      </w:r>
    </w:p>
    <w:p w14:paraId="0F681AD1" w14:textId="77777777"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lastRenderedPageBreak/>
        <w:t>Primary science education, therefore, is expected to shift from practices centred on rote memorisation towards pedagogical designs that stimulate inquiry, promote ecological awareness, and develop cognitive resilience (Delalić, 2022; Ninsiana et al., 2024). Within this framework, critical thinking assumes a central role because it equips students to navigate uncertainty, synthesise interdisciplinary knowledge, and apply it in technology-rich settings (Pamorti et al., 2024; Utary &amp; Anwar, 2023; Hong &amp; Kim, 2025; Jeong, 2023). Creative thinking may serve as a complementary ability that enhances innovation. However, the primary emphasis remains on the systematic development of analytical reasoning, which constitutes the intellectual foundation of scientific literacy in the context of Society 5.0 (Encabo-Fernández et al., 2023; Olanipekun, 2024).</w:t>
      </w:r>
    </w:p>
    <w:p w14:paraId="27D97348" w14:textId="77777777"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Although its importance has been widely acknowledged, the implementation of critical thinking in science classrooms continues to encounter persistent obstacles. Existing studies demonstrate that the development of this competence is determined not only by methodological strategies but also by the interaction of learner characteristics, teachers’ pedagogical proficiency, institutional readiness, and external pressures arising from socio-technological change (Akman &amp; Erdirençelebi, 2024; Suwarto et al., 2022). Moreover, the integration of digital tools into educational settings has been shown to be insufficient in enhancing reflective capacity unless supported by instructional designs that are meaningful, contextual, and exploratory (Islam et al., 2021; Pamorti et al., 2024). Current practices remain hindered by inconsistent implementation, inadequate teacher preparation, limited institutional support, and misalignment between the thematic curriculum and students’ lived experiences. These conditions have created a substantial gap between pedagogical intentions and classroom realities.</w:t>
      </w:r>
    </w:p>
    <w:p w14:paraId="5C286334" w14:textId="77777777"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To address this gap, the present study employs a dual-synthesis methodological framework by combining bibliometric analysis and systematic literature review (SLR). Bibliometric analysis is applied to map the structural landscape of scholarly knowledge, identify collaborative networks, and examine thematic clusters that have emerged in research over the past decade (Akman &amp; Erdirençelebi, 2024; Orhan, 2023). The systematic review complements this by analysing theoretical frameworks, pedagogical models, and empirical findings concerning the antecedents and outcomes of learning engagement in primary science education, with a specific focus on critical thinking (Gitadewi, 2024).</w:t>
      </w:r>
    </w:p>
    <w:p w14:paraId="147297C3" w14:textId="77777777"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Previous research has generally adopted a single methodological approach, either bibliometric analysis (Fauzi et al., 2025) or systematic review (Yassin, 2024), without integrating both within a cohesive analytical framework. Furthermore, few studies have positioned critical thinking as both a conceptual construct and a pedagogical outcome in a unified analysis. The methodological integration demonstrated by Hendrawan et al. (2024) in the context of talent management and by Santosa et al. (2025) in the study of work engagement within the public sector produced multidimensional insights. However, their applications were situated in entirely different domains. The present study extends these methodological strategies to the field of primary science education, thereby producing an analysis that is both comprehensive and contextually relevant to the advancement of critical thinking in the Society 5.0 era.</w:t>
      </w:r>
    </w:p>
    <w:p w14:paraId="42AC7C72" w14:textId="77777777"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Accordingly, this research is directed towards three interrelated objectives: (1) to chart research trends, thematic priorities, and the evolution of knowledge structures in science education and critical thinking; (2) to synthesise the key antecedents and consequences of learning engagement within this context; and (3) to examine the practical application of a dual-synthesis approach as a basis for developing adaptive instructional models in primary science education. These objectives are addressed through two guiding research questions:</w:t>
      </w:r>
    </w:p>
    <w:p w14:paraId="2B287081" w14:textId="77777777"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RQ1: What are the prevailing trends and advancements in research on learning within the framework of Society 5.0 over the last ten years?</w:t>
      </w:r>
    </w:p>
    <w:p w14:paraId="0E3DC511" w14:textId="231520FB" w:rsidR="00164B77" w:rsidRPr="00657435" w:rsidRDefault="00164B7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lastRenderedPageBreak/>
        <w:t xml:space="preserve">RQ2: </w:t>
      </w:r>
      <w:r w:rsidR="00EE6102" w:rsidRPr="00657435">
        <w:rPr>
          <w:rFonts w:ascii="Garamond" w:hAnsi="Garamond" w:cs="Times New Roman"/>
          <w:noProof/>
          <w:sz w:val="26"/>
          <w:szCs w:val="26"/>
        </w:rPr>
        <w:t>What educational methodologies and learning frameworks are utilised in science teaching and in cultivating critical thinking skills in elementary education throughout the Society 5.0 era?</w:t>
      </w:r>
    </w:p>
    <w:p w14:paraId="4878084D" w14:textId="77777777" w:rsidR="00851D42" w:rsidRPr="00657435" w:rsidRDefault="00851D42"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p>
    <w:p w14:paraId="676F946F" w14:textId="1C7537C3" w:rsidR="00DA7CDB" w:rsidRPr="00657435" w:rsidRDefault="00657435" w:rsidP="00657435">
      <w:pPr>
        <w:pStyle w:val="ListParagraph"/>
        <w:numPr>
          <w:ilvl w:val="0"/>
          <w:numId w:val="1"/>
        </w:numPr>
        <w:tabs>
          <w:tab w:val="left" w:pos="142"/>
          <w:tab w:val="left" w:pos="284"/>
          <w:tab w:val="left" w:pos="426"/>
        </w:tabs>
        <w:spacing w:after="0" w:line="240" w:lineRule="auto"/>
        <w:ind w:left="0" w:firstLine="0"/>
        <w:jc w:val="center"/>
        <w:rPr>
          <w:rFonts w:ascii="Garamond" w:hAnsi="Garamond" w:cs="Times New Roman"/>
          <w:b/>
          <w:bCs/>
          <w:noProof/>
          <w:sz w:val="26"/>
          <w:szCs w:val="26"/>
        </w:rPr>
      </w:pPr>
      <w:r w:rsidRPr="00657435">
        <w:rPr>
          <w:rFonts w:ascii="Garamond" w:hAnsi="Garamond" w:cs="Times New Roman"/>
          <w:noProof/>
          <w:sz w:val="26"/>
          <w:szCs w:val="26"/>
        </w:rPr>
        <w:t>METHODS</w:t>
      </w:r>
    </w:p>
    <w:p w14:paraId="3D081DD3" w14:textId="77777777" w:rsidR="00657435" w:rsidRDefault="00657435"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p>
    <w:p w14:paraId="210E4489" w14:textId="77882533" w:rsidR="00896D01" w:rsidRPr="00657435" w:rsidRDefault="006625C8"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 xml:space="preserve">This study combines bibliometric analysis with a comprehensive literature review to investigate the evolution of research on learning in the context of Society 5.0. The bibliometric analysis is utilised to discern publication trends, prominent authors, and topic clusters, whilst the systematic review investigates theoretical viewpoints, learning models, and educational outcomes pertinent to the advancement of critical thinking and science education. All articles were obtained from the Scopus database </w:t>
      </w:r>
      <w:r w:rsidR="00896D01" w:rsidRPr="00657435">
        <w:rPr>
          <w:rFonts w:ascii="Garamond" w:hAnsi="Garamond"/>
          <w:noProof/>
          <w:sz w:val="26"/>
          <w:szCs w:val="26"/>
        </w:rPr>
        <w:t>(</w:t>
      </w:r>
      <w:hyperlink r:id="rId14" w:tgtFrame="_new" w:history="1">
        <w:r w:rsidR="00896D01" w:rsidRPr="00657435">
          <w:rPr>
            <w:rFonts w:ascii="Garamond" w:hAnsi="Garamond"/>
            <w:noProof/>
            <w:sz w:val="26"/>
            <w:szCs w:val="26"/>
          </w:rPr>
          <w:t>https://www.scopus.com</w:t>
        </w:r>
      </w:hyperlink>
      <w:r w:rsidR="00896D01" w:rsidRPr="00657435">
        <w:rPr>
          <w:rFonts w:ascii="Garamond" w:hAnsi="Garamond"/>
          <w:noProof/>
          <w:sz w:val="26"/>
          <w:szCs w:val="26"/>
        </w:rPr>
        <w:t xml:space="preserve">), </w:t>
      </w:r>
      <w:r w:rsidR="003D34B0" w:rsidRPr="00657435">
        <w:rPr>
          <w:rFonts w:ascii="Garamond" w:hAnsi="Garamond"/>
          <w:noProof/>
          <w:sz w:val="26"/>
          <w:szCs w:val="26"/>
        </w:rPr>
        <w:t xml:space="preserve">chosen for its comprehensive coverage of esteemed publications across several disciplines </w:t>
      </w:r>
      <w:r w:rsidR="001B2872" w:rsidRPr="00657435">
        <w:rPr>
          <w:rFonts w:ascii="Garamond" w:hAnsi="Garamond"/>
          <w:noProof/>
          <w:sz w:val="26"/>
          <w:szCs w:val="26"/>
        </w:rPr>
        <w:fldChar w:fldCharType="begin"/>
      </w:r>
      <w:r w:rsidR="000675C6" w:rsidRPr="00657435">
        <w:rPr>
          <w:rFonts w:ascii="Garamond" w:hAnsi="Garamond"/>
          <w:noProof/>
          <w:sz w:val="26"/>
          <w:szCs w:val="26"/>
        </w:rPr>
        <w:instrText xml:space="preserve"> ADDIN ZOTERO_ITEM CSL_CITATION {"citationID":"iqs2Ka3M","properties":{"formattedCitation":"(Barik &amp; Jena, 2019)","plainCitation":"(Barik &amp; Jena, 2019)","noteIndex":0},"citationItems":[{"id":"5JXIUwDs/5EES80Py","uris":["http://zotero.org/users/local/f3vqrivG/items/H4C2X7CN"],"itemData":{"id":766,"type":"article-journal","container-title":"Library Hi Tech News","DOI":"10.1108/LHTN-05-2019-0035","journalAbbreviation":"Library Hi Tech News","title":"Visibility and growth of LIS research publications: a Scopus based analysis of select open access journals during 2001 to 2015","volume":"ahead-of-print","author":[{"family":"Barik","given":"Nilaranjan"},{"family":"Jena","given":"Puspanjali"}],"issued":{"date-parts":[["2019",8,22]]}}}],"schema":"https://github.com/citation-style-language/schema/raw/master/csl-citation.json"} </w:instrText>
      </w:r>
      <w:r w:rsidR="001B2872" w:rsidRPr="00657435">
        <w:rPr>
          <w:rFonts w:ascii="Garamond" w:hAnsi="Garamond"/>
          <w:noProof/>
          <w:sz w:val="26"/>
          <w:szCs w:val="26"/>
        </w:rPr>
        <w:fldChar w:fldCharType="separate"/>
      </w:r>
      <w:r w:rsidR="001B2872" w:rsidRPr="00657435">
        <w:rPr>
          <w:rFonts w:ascii="Garamond" w:hAnsi="Garamond"/>
          <w:noProof/>
          <w:sz w:val="26"/>
          <w:szCs w:val="26"/>
        </w:rPr>
        <w:t>(Barik &amp; Jena, 2019)</w:t>
      </w:r>
      <w:r w:rsidR="001B2872" w:rsidRPr="00657435">
        <w:rPr>
          <w:rFonts w:ascii="Garamond" w:hAnsi="Garamond"/>
          <w:noProof/>
          <w:sz w:val="26"/>
          <w:szCs w:val="26"/>
        </w:rPr>
        <w:fldChar w:fldCharType="end"/>
      </w:r>
      <w:r w:rsidR="00896D01" w:rsidRPr="00657435">
        <w:rPr>
          <w:rFonts w:ascii="Garamond" w:hAnsi="Garamond"/>
          <w:noProof/>
          <w:sz w:val="26"/>
          <w:szCs w:val="26"/>
        </w:rPr>
        <w:t xml:space="preserve">. </w:t>
      </w:r>
      <w:r w:rsidR="003D34B0" w:rsidRPr="00657435">
        <w:rPr>
          <w:rFonts w:ascii="Garamond" w:hAnsi="Garamond"/>
          <w:noProof/>
          <w:sz w:val="26"/>
          <w:szCs w:val="26"/>
        </w:rPr>
        <w:t xml:space="preserve">The stringent indexing standards and dependable citation metrics offered by Scopus </w:t>
      </w:r>
      <w:r w:rsidR="001B2872" w:rsidRPr="00657435">
        <w:rPr>
          <w:rFonts w:ascii="Garamond" w:hAnsi="Garamond"/>
          <w:noProof/>
          <w:sz w:val="26"/>
          <w:szCs w:val="26"/>
        </w:rPr>
        <w:fldChar w:fldCharType="begin"/>
      </w:r>
      <w:r w:rsidR="000675C6" w:rsidRPr="00657435">
        <w:rPr>
          <w:rFonts w:ascii="Garamond" w:hAnsi="Garamond"/>
          <w:noProof/>
          <w:sz w:val="26"/>
          <w:szCs w:val="26"/>
        </w:rPr>
        <w:instrText xml:space="preserve"> ADDIN ZOTERO_ITEM CSL_CITATION {"citationID":"wSWXFe57","properties":{"formattedCitation":"(Baas et al., 2020)","plainCitation":"(Baas et al., 2020)","noteIndex":0},"citationItems":[{"id":"5JXIUwDs/IXS9xREs","uris":["http://zotero.org/users/local/f3vqrivG/items/SM5XMNW7"],"itemData":{"id":769,"type":"article-journal","container-title":"Quantitative Science Studies","DOI":"10.1162/qss_a_00019","journalAbbreviation":"Quantitative Science Studies","page":"1-10","title":"Scopus as a curated, high-quality bibliometric data source for academic research in quantitative science studies","volume":"1","author":[{"family":"Baas","given":"Jeroen"},{"family":"Schotten","given":"Michiel"},{"family":"Plume","given":"Andrew"},{"family":"Côté","given":"Grégoire"},{"family":"Karimi","given":"Reza"}],"issued":{"date-parts":[["2020",1,23]]}}}],"schema":"https://github.com/citation-style-language/schema/raw/master/csl-citation.json"} </w:instrText>
      </w:r>
      <w:r w:rsidR="001B2872" w:rsidRPr="00657435">
        <w:rPr>
          <w:rFonts w:ascii="Garamond" w:hAnsi="Garamond"/>
          <w:noProof/>
          <w:sz w:val="26"/>
          <w:szCs w:val="26"/>
        </w:rPr>
        <w:fldChar w:fldCharType="separate"/>
      </w:r>
      <w:r w:rsidR="001B2872" w:rsidRPr="00657435">
        <w:rPr>
          <w:rFonts w:ascii="Garamond" w:hAnsi="Garamond"/>
          <w:noProof/>
          <w:sz w:val="26"/>
          <w:szCs w:val="26"/>
        </w:rPr>
        <w:t>(Baas et al., 2020)</w:t>
      </w:r>
      <w:r w:rsidR="001B2872" w:rsidRPr="00657435">
        <w:rPr>
          <w:rFonts w:ascii="Garamond" w:hAnsi="Garamond"/>
          <w:noProof/>
          <w:sz w:val="26"/>
          <w:szCs w:val="26"/>
        </w:rPr>
        <w:fldChar w:fldCharType="end"/>
      </w:r>
      <w:r w:rsidR="00896D01" w:rsidRPr="00657435">
        <w:rPr>
          <w:rFonts w:ascii="Garamond" w:hAnsi="Garamond"/>
          <w:noProof/>
          <w:sz w:val="26"/>
          <w:szCs w:val="26"/>
        </w:rPr>
        <w:t xml:space="preserve"> </w:t>
      </w:r>
      <w:r w:rsidR="003D34B0" w:rsidRPr="00657435">
        <w:rPr>
          <w:rFonts w:ascii="Garamond" w:hAnsi="Garamond"/>
          <w:noProof/>
          <w:sz w:val="26"/>
          <w:szCs w:val="26"/>
        </w:rPr>
        <w:t>guarantee the legitimacy and thoroughness of the data sources utilised in the bibliometric and systematic analyses performed in this work</w:t>
      </w:r>
      <w:r w:rsidR="00896D01" w:rsidRPr="00657435">
        <w:rPr>
          <w:rFonts w:ascii="Garamond" w:hAnsi="Garamond"/>
          <w:noProof/>
          <w:sz w:val="26"/>
          <w:szCs w:val="26"/>
        </w:rPr>
        <w:t>.</w:t>
      </w:r>
    </w:p>
    <w:p w14:paraId="3B67F564" w14:textId="77777777" w:rsidR="00896D01" w:rsidRPr="00657435" w:rsidRDefault="00896D01" w:rsidP="00657435">
      <w:pPr>
        <w:pStyle w:val="ListParagraph"/>
        <w:numPr>
          <w:ilvl w:val="0"/>
          <w:numId w:val="4"/>
        </w:numPr>
        <w:tabs>
          <w:tab w:val="left" w:pos="142"/>
          <w:tab w:val="left" w:pos="284"/>
          <w:tab w:val="left" w:pos="426"/>
        </w:tabs>
        <w:spacing w:after="0" w:line="240" w:lineRule="auto"/>
        <w:ind w:left="0" w:firstLine="0"/>
        <w:jc w:val="both"/>
        <w:rPr>
          <w:rFonts w:ascii="Garamond" w:hAnsi="Garamond" w:cs="Times New Roman"/>
          <w:b/>
          <w:bCs/>
          <w:noProof/>
          <w:sz w:val="26"/>
          <w:szCs w:val="26"/>
        </w:rPr>
      </w:pPr>
      <w:r w:rsidRPr="00657435">
        <w:rPr>
          <w:rFonts w:ascii="Garamond" w:hAnsi="Garamond" w:cs="Times New Roman"/>
          <w:b/>
          <w:bCs/>
          <w:noProof/>
          <w:sz w:val="26"/>
          <w:szCs w:val="26"/>
        </w:rPr>
        <w:t>Bibliometric analysis</w:t>
      </w:r>
    </w:p>
    <w:p w14:paraId="1E3DCAF5" w14:textId="74664339" w:rsidR="00896D01" w:rsidRPr="00657435" w:rsidRDefault="000668D8"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 xml:space="preserve">This study use bibliometric analysis to examine the dataset, monitor research trends, and pinpoint significant advancements in the investigation of learning within the framework of Society 5.0 over the last decade. This work employs a bibliometric methodology to get an extensive overview of publication trends, utilising R software version 4.4.3, developed by </w:t>
      </w:r>
      <w:r w:rsidR="001B2872" w:rsidRPr="00657435">
        <w:rPr>
          <w:rFonts w:ascii="Garamond" w:hAnsi="Garamond"/>
          <w:noProof/>
          <w:sz w:val="26"/>
          <w:szCs w:val="26"/>
        </w:rPr>
        <w:fldChar w:fldCharType="begin"/>
      </w:r>
      <w:r w:rsidR="000675C6" w:rsidRPr="00657435">
        <w:rPr>
          <w:rFonts w:ascii="Garamond" w:hAnsi="Garamond"/>
          <w:noProof/>
          <w:sz w:val="26"/>
          <w:szCs w:val="26"/>
        </w:rPr>
        <w:instrText xml:space="preserve"> ADDIN ZOTERO_ITEM CSL_CITATION {"citationID":"BsM40i3p","properties":{"formattedCitation":"(Aria &amp; Cuccurullo, 2017)","plainCitation":"(Aria &amp; Cuccurullo, 2017)","dontUpdate":true,"noteIndex":0},"citationItems":[{"id":"5JXIUwDs/v6IAbWD5","uris":["http://zotero.org/users/local/f3vqrivG/items/RR7WRFTQ"],"itemData":{"id":770,"type":"article-journal","abstract":"The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bibliometrics.","container-title":"Journal of Informetrics","DOI":"10.1016/j.joi.2017.08.007","ISSN":"1751-1577","issue":"4","journalAbbreviation":"Journal of Informetrics","page":"959-975","title":"bibliometrix: An R-tool for comprehensive science mapping analysis","volume":"11","author":[{"family":"Aria","given":"Massimo"},{"family":"Cuccurullo","given":"Corrado"}],"issued":{"date-parts":[["2017",11,1]]}}}],"schema":"https://github.com/citation-style-language/schema/raw/master/csl-citation.json"} </w:instrText>
      </w:r>
      <w:r w:rsidR="001B2872" w:rsidRPr="00657435">
        <w:rPr>
          <w:rFonts w:ascii="Garamond" w:hAnsi="Garamond"/>
          <w:noProof/>
          <w:sz w:val="26"/>
          <w:szCs w:val="26"/>
        </w:rPr>
        <w:fldChar w:fldCharType="separate"/>
      </w:r>
      <w:r w:rsidR="001B2872" w:rsidRPr="00657435">
        <w:rPr>
          <w:rFonts w:ascii="Garamond" w:hAnsi="Garamond"/>
          <w:noProof/>
          <w:sz w:val="26"/>
          <w:szCs w:val="26"/>
        </w:rPr>
        <w:t>Aria &amp; Cuccurullo (2017)</w:t>
      </w:r>
      <w:r w:rsidR="001B2872" w:rsidRPr="00657435">
        <w:rPr>
          <w:rFonts w:ascii="Garamond" w:hAnsi="Garamond"/>
          <w:noProof/>
          <w:sz w:val="26"/>
          <w:szCs w:val="26"/>
        </w:rPr>
        <w:fldChar w:fldCharType="end"/>
      </w:r>
      <w:r w:rsidR="00896D01" w:rsidRPr="00657435">
        <w:rPr>
          <w:rFonts w:ascii="Garamond" w:hAnsi="Garamond"/>
          <w:noProof/>
          <w:sz w:val="26"/>
          <w:szCs w:val="26"/>
        </w:rPr>
        <w:t xml:space="preserve"> </w:t>
      </w:r>
      <w:r w:rsidRPr="00657435">
        <w:rPr>
          <w:rFonts w:ascii="Garamond" w:hAnsi="Garamond"/>
          <w:noProof/>
          <w:sz w:val="26"/>
          <w:szCs w:val="26"/>
        </w:rPr>
        <w:t>for data processing and visualisation. The selection of R software was due to its accessibility and effectiveness in systematically handling bibliographic metadata</w:t>
      </w:r>
      <w:r w:rsidR="00896D01" w:rsidRPr="00657435">
        <w:rPr>
          <w:rFonts w:ascii="Garamond" w:hAnsi="Garamond"/>
          <w:noProof/>
          <w:sz w:val="26"/>
          <w:szCs w:val="26"/>
        </w:rPr>
        <w:t xml:space="preserve"> </w:t>
      </w:r>
      <w:r w:rsidR="001B2872" w:rsidRPr="00657435">
        <w:rPr>
          <w:rFonts w:ascii="Garamond" w:hAnsi="Garamond"/>
          <w:noProof/>
          <w:sz w:val="26"/>
          <w:szCs w:val="26"/>
        </w:rPr>
        <w:fldChar w:fldCharType="begin"/>
      </w:r>
      <w:r w:rsidR="000675C6" w:rsidRPr="00657435">
        <w:rPr>
          <w:rFonts w:ascii="Garamond" w:hAnsi="Garamond"/>
          <w:noProof/>
          <w:sz w:val="26"/>
          <w:szCs w:val="26"/>
        </w:rPr>
        <w:instrText xml:space="preserve"> ADDIN ZOTERO_ITEM CSL_CITATION {"citationID":"KwUXASm9","properties":{"formattedCitation":"(Darvish, 2020)","plainCitation":"(Darvish, 2020)","noteIndex":0},"citationItems":[{"id":"5JXIUwDs/YwkCqlUb","uris":["http://zotero.org/users/local/f3vqrivG/items/765XPTNJ"],"itemData":{"id":771,"type":"article-journal","container-title":"Journal of Scientometric Research","DOI":"10.5530/jscires.8.3.32","journalAbbreviation":"Journal of Scientometric Research","page":"156-160","title":"Bibliometric Analysis using Bibliometrix an R Package","volume":"8","author":[{"family":"Darvish","given":"Hamid"}],"issued":{"date-parts":[["2020",1,6]]}}}],"schema":"https://github.com/citation-style-language/schema/raw/master/csl-citation.json"} </w:instrText>
      </w:r>
      <w:r w:rsidR="001B2872" w:rsidRPr="00657435">
        <w:rPr>
          <w:rFonts w:ascii="Garamond" w:hAnsi="Garamond"/>
          <w:noProof/>
          <w:sz w:val="26"/>
          <w:szCs w:val="26"/>
        </w:rPr>
        <w:fldChar w:fldCharType="separate"/>
      </w:r>
      <w:r w:rsidR="001B2872" w:rsidRPr="00657435">
        <w:rPr>
          <w:rFonts w:ascii="Garamond" w:hAnsi="Garamond"/>
          <w:noProof/>
          <w:sz w:val="26"/>
          <w:szCs w:val="26"/>
        </w:rPr>
        <w:t>(Darvish, 2020)</w:t>
      </w:r>
      <w:r w:rsidR="001B2872" w:rsidRPr="00657435">
        <w:rPr>
          <w:rFonts w:ascii="Garamond" w:hAnsi="Garamond"/>
          <w:noProof/>
          <w:sz w:val="26"/>
          <w:szCs w:val="26"/>
        </w:rPr>
        <w:fldChar w:fldCharType="end"/>
      </w:r>
      <w:r w:rsidR="00896D01" w:rsidRPr="00657435">
        <w:rPr>
          <w:rFonts w:ascii="Garamond" w:hAnsi="Garamond"/>
          <w:noProof/>
          <w:sz w:val="26"/>
          <w:szCs w:val="26"/>
        </w:rPr>
        <w:t xml:space="preserve">. </w:t>
      </w:r>
      <w:r w:rsidRPr="00657435">
        <w:rPr>
          <w:rFonts w:ascii="Garamond" w:hAnsi="Garamond"/>
          <w:noProof/>
          <w:sz w:val="26"/>
          <w:szCs w:val="26"/>
        </w:rPr>
        <w:t>The Scopus database facilitates this bibliometric analysis due to its interoperability with R software, hence ensuring the validity and depth of the conclusions in this study</w:t>
      </w:r>
      <w:r w:rsidR="00896D01" w:rsidRPr="00657435">
        <w:rPr>
          <w:rFonts w:ascii="Garamond" w:hAnsi="Garamond"/>
          <w:noProof/>
          <w:sz w:val="26"/>
          <w:szCs w:val="26"/>
        </w:rPr>
        <w:t xml:space="preserve"> </w:t>
      </w:r>
      <w:r w:rsidR="001B2872" w:rsidRPr="00657435">
        <w:rPr>
          <w:rFonts w:ascii="Garamond" w:hAnsi="Garamond"/>
          <w:noProof/>
          <w:sz w:val="26"/>
          <w:szCs w:val="26"/>
        </w:rPr>
        <w:fldChar w:fldCharType="begin"/>
      </w:r>
      <w:r w:rsidR="000675C6" w:rsidRPr="00657435">
        <w:rPr>
          <w:rFonts w:ascii="Garamond" w:hAnsi="Garamond"/>
          <w:noProof/>
          <w:sz w:val="26"/>
          <w:szCs w:val="26"/>
        </w:rPr>
        <w:instrText xml:space="preserve"> ADDIN ZOTERO_ITEM CSL_CITATION {"citationID":"2cm9qRNT","properties":{"formattedCitation":"(Maheshwari &amp; Kha, 2023)","plainCitation":"(Maheshwari &amp; Kha, 2023)","noteIndex":0},"citationItems":[{"id":"5JXIUwDs/xgF8SjVH","uris":["http://zotero.org/users/local/f3vqrivG/items/SQGC2V6E"],"itemData":{"id":772,"type":"article-journal","container-title":"International Journal of Leadership in Education","DOI":"10.1080/13603124.2023.2236968","journalAbbreviation":"International Journal of Leadership in Education","page":"1","title":"A bibliometric analysis of influence of leadership styles on employees and organization in higher education sector from 2007 to 2022","author":[{"family":"Maheshwari","given":"Greeni"},{"family":"Kha","given":"Khanh"}],"issued":{"date-parts":[["2023",7,24]]}}}],"schema":"https://github.com/citation-style-language/schema/raw/master/csl-citation.json"} </w:instrText>
      </w:r>
      <w:r w:rsidR="001B2872" w:rsidRPr="00657435">
        <w:rPr>
          <w:rFonts w:ascii="Garamond" w:hAnsi="Garamond"/>
          <w:noProof/>
          <w:sz w:val="26"/>
          <w:szCs w:val="26"/>
        </w:rPr>
        <w:fldChar w:fldCharType="separate"/>
      </w:r>
      <w:r w:rsidR="001B2872" w:rsidRPr="00657435">
        <w:rPr>
          <w:rFonts w:ascii="Garamond" w:hAnsi="Garamond"/>
          <w:noProof/>
          <w:sz w:val="26"/>
          <w:szCs w:val="26"/>
        </w:rPr>
        <w:t>(Maheshwari &amp; Kha, 2023)</w:t>
      </w:r>
      <w:r w:rsidR="001B2872" w:rsidRPr="00657435">
        <w:rPr>
          <w:rFonts w:ascii="Garamond" w:hAnsi="Garamond"/>
          <w:noProof/>
          <w:sz w:val="26"/>
          <w:szCs w:val="26"/>
        </w:rPr>
        <w:fldChar w:fldCharType="end"/>
      </w:r>
      <w:r w:rsidR="00896D01" w:rsidRPr="00657435">
        <w:rPr>
          <w:rFonts w:ascii="Garamond" w:hAnsi="Garamond"/>
          <w:noProof/>
          <w:sz w:val="26"/>
          <w:szCs w:val="26"/>
        </w:rPr>
        <w:t>.</w:t>
      </w:r>
    </w:p>
    <w:p w14:paraId="20B9352A" w14:textId="77777777" w:rsidR="00657435" w:rsidRDefault="000668D8" w:rsidP="00657435">
      <w:pPr>
        <w:pStyle w:val="ListParagraph"/>
        <w:tabs>
          <w:tab w:val="left" w:pos="142"/>
          <w:tab w:val="left" w:pos="284"/>
          <w:tab w:val="left" w:pos="426"/>
        </w:tabs>
        <w:spacing w:after="0" w:line="240" w:lineRule="auto"/>
        <w:ind w:left="0"/>
        <w:jc w:val="both"/>
        <w:rPr>
          <w:rFonts w:ascii="Garamond" w:eastAsia="Times New Roman" w:hAnsi="Garamond" w:cs="Times New Roman"/>
          <w:noProof/>
          <w:kern w:val="0"/>
          <w:sz w:val="26"/>
          <w:szCs w:val="26"/>
          <w:lang w:eastAsia="en-ID"/>
          <w14:ligatures w14:val="none"/>
        </w:rPr>
      </w:pPr>
      <w:r w:rsidRPr="00657435">
        <w:rPr>
          <w:rFonts w:ascii="Garamond" w:eastAsia="Times New Roman" w:hAnsi="Garamond" w:cs="Times New Roman"/>
          <w:noProof/>
          <w:kern w:val="0"/>
          <w:sz w:val="26"/>
          <w:szCs w:val="26"/>
          <w:lang w:eastAsia="en-ID"/>
          <w14:ligatures w14:val="none"/>
        </w:rPr>
        <w:t>This analysis was performed to address the subsequent research enquiries:</w:t>
      </w:r>
      <w:r w:rsidRPr="00657435">
        <w:rPr>
          <w:rFonts w:ascii="Garamond" w:eastAsia="Times New Roman" w:hAnsi="Garamond" w:cs="Times New Roman"/>
          <w:noProof/>
          <w:kern w:val="0"/>
          <w:sz w:val="26"/>
          <w:szCs w:val="26"/>
          <w:lang w:eastAsia="en-ID"/>
          <w14:ligatures w14:val="none"/>
        </w:rPr>
        <w:br/>
        <w:t>Q1: What are the prevailing trends and advancements in research on learning within the framework of Society 5.0 over the last ten years?</w:t>
      </w:r>
    </w:p>
    <w:p w14:paraId="7CDA24A7" w14:textId="715561FB" w:rsidR="00896D01" w:rsidRPr="00657435" w:rsidRDefault="000668D8" w:rsidP="00657435">
      <w:pPr>
        <w:pStyle w:val="ListParagraph"/>
        <w:tabs>
          <w:tab w:val="left" w:pos="142"/>
          <w:tab w:val="left" w:pos="284"/>
          <w:tab w:val="left" w:pos="426"/>
        </w:tabs>
        <w:spacing w:after="0" w:line="240" w:lineRule="auto"/>
        <w:ind w:left="0"/>
        <w:jc w:val="both"/>
        <w:rPr>
          <w:rFonts w:ascii="Garamond" w:eastAsia="Times New Roman" w:hAnsi="Garamond" w:cs="Times New Roman"/>
          <w:noProof/>
          <w:kern w:val="0"/>
          <w:sz w:val="26"/>
          <w:szCs w:val="26"/>
          <w:lang w:eastAsia="en-ID"/>
          <w14:ligatures w14:val="none"/>
        </w:rPr>
      </w:pPr>
      <w:r w:rsidRPr="00657435">
        <w:rPr>
          <w:rFonts w:ascii="Garamond" w:eastAsia="Times New Roman" w:hAnsi="Garamond" w:cs="Times New Roman"/>
          <w:noProof/>
          <w:kern w:val="0"/>
          <w:sz w:val="26"/>
          <w:szCs w:val="26"/>
          <w:lang w:eastAsia="en-ID"/>
          <w14:ligatures w14:val="none"/>
        </w:rPr>
        <w:t>Table 1 delineates the document screening procedure in this bibliometric research. The preliminary search utilising the combined keywords "science learning," "critical thinking," "Society 5.0," and "learning" yielded 484 documents. The number of papers was substantially diminished after applying a filter for the publishing period from 2015 to 2025. Additional filtering was conducted by restricting the document type to journal articles exclusively, the publication stage to the final phase, and the publication language to English only. Upon the application of all specified criteria, the total number of papers utilised in the analysis amounted to 161 articles. The selection procedure was conducted methodically to ensure alignment with the study's emphasis, the topic's relevance, and the methodological rigour of this bibliometric analysis</w:t>
      </w:r>
      <w:r w:rsidR="00896D01" w:rsidRPr="00657435">
        <w:rPr>
          <w:rFonts w:ascii="Garamond" w:hAnsi="Garamond" w:cs="Times New Roman"/>
          <w:noProof/>
          <w:sz w:val="26"/>
          <w:szCs w:val="26"/>
        </w:rPr>
        <w:t>.</w:t>
      </w:r>
    </w:p>
    <w:p w14:paraId="57BD2210" w14:textId="77777777" w:rsidR="00896D01" w:rsidRPr="00657435" w:rsidRDefault="00896D01"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p>
    <w:p w14:paraId="1A18C583" w14:textId="7935A6FD" w:rsidR="00896D01" w:rsidRPr="00657435" w:rsidRDefault="00896D01"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bookmarkStart w:id="1" w:name="_Hlk199687663"/>
      <w:r w:rsidRPr="00657435">
        <w:rPr>
          <w:rFonts w:ascii="Garamond" w:hAnsi="Garamond" w:cs="Times New Roman"/>
          <w:b/>
          <w:bCs/>
          <w:noProof/>
          <w:sz w:val="26"/>
          <w:szCs w:val="26"/>
        </w:rPr>
        <w:t>Table 1</w:t>
      </w:r>
      <w:r w:rsidR="0016005C" w:rsidRPr="00657435">
        <w:rPr>
          <w:rFonts w:ascii="Garamond" w:hAnsi="Garamond" w:cs="Times New Roman"/>
          <w:b/>
          <w:bCs/>
          <w:noProof/>
          <w:sz w:val="26"/>
          <w:szCs w:val="26"/>
        </w:rPr>
        <w:t xml:space="preserve">. </w:t>
      </w:r>
      <w:r w:rsidRPr="00657435">
        <w:rPr>
          <w:rFonts w:ascii="Garamond" w:hAnsi="Garamond" w:cs="Times New Roman"/>
          <w:b/>
          <w:bCs/>
          <w:noProof/>
          <w:sz w:val="26"/>
          <w:szCs w:val="26"/>
        </w:rPr>
        <w:t>Enhanced search inquiry</w:t>
      </w:r>
    </w:p>
    <w:tbl>
      <w:tblPr>
        <w:tblStyle w:val="TableGrid"/>
        <w:tblW w:w="0" w:type="auto"/>
        <w:tblLayout w:type="fixed"/>
        <w:tblLook w:val="04A0" w:firstRow="1" w:lastRow="0" w:firstColumn="1" w:lastColumn="0" w:noHBand="0" w:noVBand="1"/>
      </w:tblPr>
      <w:tblGrid>
        <w:gridCol w:w="4111"/>
        <w:gridCol w:w="4915"/>
      </w:tblGrid>
      <w:tr w:rsidR="00E312CE" w:rsidRPr="00657435" w14:paraId="6201ED01" w14:textId="77777777" w:rsidTr="00657435">
        <w:tc>
          <w:tcPr>
            <w:tcW w:w="4111" w:type="dxa"/>
          </w:tcPr>
          <w:bookmarkEnd w:id="1"/>
          <w:p w14:paraId="7D078A68"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b/>
                <w:bCs/>
                <w:noProof/>
                <w:sz w:val="26"/>
                <w:szCs w:val="26"/>
              </w:rPr>
            </w:pPr>
            <w:r w:rsidRPr="00657435">
              <w:rPr>
                <w:rFonts w:ascii="Garamond" w:hAnsi="Garamond" w:cs="Times New Roman"/>
                <w:b/>
                <w:bCs/>
                <w:noProof/>
                <w:sz w:val="26"/>
                <w:szCs w:val="26"/>
              </w:rPr>
              <w:t>Description</w:t>
            </w:r>
          </w:p>
        </w:tc>
        <w:tc>
          <w:tcPr>
            <w:tcW w:w="4915" w:type="dxa"/>
          </w:tcPr>
          <w:p w14:paraId="2555A75A"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b/>
                <w:bCs/>
                <w:noProof/>
                <w:sz w:val="26"/>
                <w:szCs w:val="26"/>
              </w:rPr>
            </w:pPr>
            <w:r w:rsidRPr="00657435">
              <w:rPr>
                <w:rFonts w:ascii="Garamond" w:hAnsi="Garamond" w:cs="Times New Roman"/>
                <w:b/>
                <w:bCs/>
                <w:noProof/>
                <w:sz w:val="26"/>
                <w:szCs w:val="26"/>
              </w:rPr>
              <w:t>Condition</w:t>
            </w:r>
          </w:p>
        </w:tc>
      </w:tr>
      <w:tr w:rsidR="00E312CE" w:rsidRPr="00657435" w14:paraId="79A773CA" w14:textId="77777777" w:rsidTr="00657435">
        <w:tc>
          <w:tcPr>
            <w:tcW w:w="4111" w:type="dxa"/>
          </w:tcPr>
          <w:p w14:paraId="7EEE19E0"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Search Inquiry</w:t>
            </w:r>
          </w:p>
        </w:tc>
        <w:tc>
          <w:tcPr>
            <w:tcW w:w="4915" w:type="dxa"/>
          </w:tcPr>
          <w:p w14:paraId="0F639067"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color w:val="2E2E2E"/>
                <w:sz w:val="26"/>
                <w:szCs w:val="26"/>
                <w:shd w:val="clear" w:color="auto" w:fill="FFFFFF"/>
              </w:rPr>
              <w:t>TITLE-ABS-KEY </w:t>
            </w:r>
            <w:r w:rsidRPr="00657435">
              <w:rPr>
                <w:rFonts w:ascii="Garamond" w:hAnsi="Garamond" w:cs="Times New Roman"/>
                <w:noProof/>
                <w:sz w:val="26"/>
                <w:szCs w:val="26"/>
              </w:rPr>
              <w:t>( "science learning" AND "critical thinking" ) OR ( "Society 5.0" AND "learning" ) -&gt; 484</w:t>
            </w:r>
          </w:p>
        </w:tc>
      </w:tr>
      <w:tr w:rsidR="00E312CE" w:rsidRPr="00657435" w14:paraId="1E8DE440" w14:textId="77777777" w:rsidTr="00657435">
        <w:tc>
          <w:tcPr>
            <w:tcW w:w="4111" w:type="dxa"/>
          </w:tcPr>
          <w:p w14:paraId="28120B50"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Search query after refening</w:t>
            </w:r>
          </w:p>
        </w:tc>
        <w:tc>
          <w:tcPr>
            <w:tcW w:w="4915" w:type="dxa"/>
          </w:tcPr>
          <w:p w14:paraId="5748CA83"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color w:val="2E2E2E"/>
                <w:sz w:val="26"/>
                <w:szCs w:val="26"/>
                <w:shd w:val="clear" w:color="auto" w:fill="FFFFFF"/>
              </w:rPr>
              <w:t>TITLE-ABS-KEY ( ( </w:t>
            </w:r>
            <w:r w:rsidRPr="00657435">
              <w:rPr>
                <w:rStyle w:val="pureblacktext"/>
                <w:rFonts w:ascii="Garamond" w:hAnsi="Garamond" w:cs="Times New Roman"/>
                <w:noProof/>
                <w:sz w:val="26"/>
                <w:szCs w:val="26"/>
                <w:shd w:val="clear" w:color="auto" w:fill="FFFFFF"/>
              </w:rPr>
              <w:t>"science learning"</w:t>
            </w:r>
            <w:r w:rsidRPr="00657435">
              <w:rPr>
                <w:rFonts w:ascii="Garamond" w:hAnsi="Garamond" w:cs="Times New Roman"/>
                <w:noProof/>
                <w:color w:val="2E2E2E"/>
                <w:sz w:val="26"/>
                <w:szCs w:val="26"/>
                <w:shd w:val="clear" w:color="auto" w:fill="FFFFFF"/>
              </w:rPr>
              <w:t>  AND  </w:t>
            </w:r>
            <w:r w:rsidRPr="00657435">
              <w:rPr>
                <w:rStyle w:val="pureblacktext"/>
                <w:rFonts w:ascii="Garamond" w:hAnsi="Garamond" w:cs="Times New Roman"/>
                <w:noProof/>
                <w:sz w:val="26"/>
                <w:szCs w:val="26"/>
                <w:shd w:val="clear" w:color="auto" w:fill="FFFFFF"/>
              </w:rPr>
              <w:t>"critical thinking"</w:t>
            </w:r>
            <w:r w:rsidRPr="00657435">
              <w:rPr>
                <w:rFonts w:ascii="Garamond" w:hAnsi="Garamond" w:cs="Times New Roman"/>
                <w:noProof/>
                <w:color w:val="2E2E2E"/>
                <w:sz w:val="26"/>
                <w:szCs w:val="26"/>
                <w:shd w:val="clear" w:color="auto" w:fill="FFFFFF"/>
              </w:rPr>
              <w:t> )  OR  ( </w:t>
            </w:r>
            <w:r w:rsidRPr="00657435">
              <w:rPr>
                <w:rStyle w:val="pureblacktext"/>
                <w:rFonts w:ascii="Garamond" w:hAnsi="Garamond" w:cs="Times New Roman"/>
                <w:noProof/>
                <w:sz w:val="26"/>
                <w:szCs w:val="26"/>
                <w:shd w:val="clear" w:color="auto" w:fill="FFFFFF"/>
              </w:rPr>
              <w:t>"Society 5.0"</w:t>
            </w:r>
            <w:r w:rsidRPr="00657435">
              <w:rPr>
                <w:rFonts w:ascii="Garamond" w:hAnsi="Garamond" w:cs="Times New Roman"/>
                <w:noProof/>
                <w:color w:val="2E2E2E"/>
                <w:sz w:val="26"/>
                <w:szCs w:val="26"/>
                <w:shd w:val="clear" w:color="auto" w:fill="FFFFFF"/>
              </w:rPr>
              <w:t>  AND  </w:t>
            </w:r>
            <w:r w:rsidRPr="00657435">
              <w:rPr>
                <w:rStyle w:val="pureblacktext"/>
                <w:rFonts w:ascii="Garamond" w:hAnsi="Garamond" w:cs="Times New Roman"/>
                <w:noProof/>
                <w:sz w:val="26"/>
                <w:szCs w:val="26"/>
                <w:shd w:val="clear" w:color="auto" w:fill="FFFFFF"/>
              </w:rPr>
              <w:t>"learning"</w:t>
            </w:r>
            <w:r w:rsidRPr="00657435">
              <w:rPr>
                <w:rFonts w:ascii="Garamond" w:hAnsi="Garamond" w:cs="Times New Roman"/>
                <w:noProof/>
                <w:color w:val="2E2E2E"/>
                <w:sz w:val="26"/>
                <w:szCs w:val="26"/>
                <w:shd w:val="clear" w:color="auto" w:fill="FFFFFF"/>
              </w:rPr>
              <w:t> ) )  AND  PUBYEAR  &gt;  </w:t>
            </w:r>
            <w:r w:rsidRPr="00657435">
              <w:rPr>
                <w:rStyle w:val="pureblacktext"/>
                <w:rFonts w:ascii="Garamond" w:hAnsi="Garamond" w:cs="Times New Roman"/>
                <w:noProof/>
                <w:sz w:val="26"/>
                <w:szCs w:val="26"/>
                <w:shd w:val="clear" w:color="auto" w:fill="FFFFFF"/>
              </w:rPr>
              <w:t>2014</w:t>
            </w:r>
            <w:r w:rsidRPr="00657435">
              <w:rPr>
                <w:rFonts w:ascii="Garamond" w:hAnsi="Garamond" w:cs="Times New Roman"/>
                <w:noProof/>
                <w:color w:val="2E2E2E"/>
                <w:sz w:val="26"/>
                <w:szCs w:val="26"/>
                <w:shd w:val="clear" w:color="auto" w:fill="FFFFFF"/>
              </w:rPr>
              <w:t>  AND  PUBYEAR  &lt;  </w:t>
            </w:r>
            <w:r w:rsidRPr="00657435">
              <w:rPr>
                <w:rStyle w:val="pureblacktext"/>
                <w:rFonts w:ascii="Garamond" w:hAnsi="Garamond" w:cs="Times New Roman"/>
                <w:noProof/>
                <w:sz w:val="26"/>
                <w:szCs w:val="26"/>
                <w:shd w:val="clear" w:color="auto" w:fill="FFFFFF"/>
              </w:rPr>
              <w:t>2026</w:t>
            </w:r>
            <w:r w:rsidRPr="00657435">
              <w:rPr>
                <w:rFonts w:ascii="Garamond" w:hAnsi="Garamond" w:cs="Times New Roman"/>
                <w:noProof/>
                <w:color w:val="2E2E2E"/>
                <w:sz w:val="26"/>
                <w:szCs w:val="26"/>
                <w:shd w:val="clear" w:color="auto" w:fill="FFFFFF"/>
              </w:rPr>
              <w:t>  AND  ( </w:t>
            </w:r>
            <w:r w:rsidRPr="00657435">
              <w:rPr>
                <w:rFonts w:ascii="Garamond" w:hAnsi="Garamond" w:cs="Times New Roman"/>
                <w:noProof/>
                <w:color w:val="2E2E2E"/>
                <w:sz w:val="26"/>
                <w:szCs w:val="26"/>
                <w:shd w:val="clear" w:color="auto" w:fill="FFFFFF"/>
              </w:rPr>
              <w:lastRenderedPageBreak/>
              <w:t>LIMIT-TO ( DOCTYPE ,  </w:t>
            </w:r>
            <w:r w:rsidRPr="00657435">
              <w:rPr>
                <w:rStyle w:val="pureblacktext"/>
                <w:rFonts w:ascii="Garamond" w:hAnsi="Garamond" w:cs="Times New Roman"/>
                <w:noProof/>
                <w:sz w:val="26"/>
                <w:szCs w:val="26"/>
                <w:shd w:val="clear" w:color="auto" w:fill="FFFFFF"/>
              </w:rPr>
              <w:t>"ar"</w:t>
            </w:r>
            <w:r w:rsidRPr="00657435">
              <w:rPr>
                <w:rFonts w:ascii="Garamond" w:hAnsi="Garamond" w:cs="Times New Roman"/>
                <w:noProof/>
                <w:color w:val="2E2E2E"/>
                <w:sz w:val="26"/>
                <w:szCs w:val="26"/>
                <w:shd w:val="clear" w:color="auto" w:fill="FFFFFF"/>
              </w:rPr>
              <w:t> ) )  AND  ( LIMIT-TO ( PUBSTAGE ,  </w:t>
            </w:r>
            <w:r w:rsidRPr="00657435">
              <w:rPr>
                <w:rStyle w:val="pureblacktext"/>
                <w:rFonts w:ascii="Garamond" w:hAnsi="Garamond" w:cs="Times New Roman"/>
                <w:noProof/>
                <w:sz w:val="26"/>
                <w:szCs w:val="26"/>
                <w:shd w:val="clear" w:color="auto" w:fill="FFFFFF"/>
              </w:rPr>
              <w:t>"final"</w:t>
            </w:r>
            <w:r w:rsidRPr="00657435">
              <w:rPr>
                <w:rFonts w:ascii="Garamond" w:hAnsi="Garamond" w:cs="Times New Roman"/>
                <w:noProof/>
                <w:color w:val="2E2E2E"/>
                <w:sz w:val="26"/>
                <w:szCs w:val="26"/>
                <w:shd w:val="clear" w:color="auto" w:fill="FFFFFF"/>
              </w:rPr>
              <w:t> ) )  AND  ( LIMIT-TO ( LANGUAGE ,  </w:t>
            </w:r>
            <w:r w:rsidRPr="00657435">
              <w:rPr>
                <w:rStyle w:val="pureblacktext"/>
                <w:rFonts w:ascii="Garamond" w:hAnsi="Garamond" w:cs="Times New Roman"/>
                <w:noProof/>
                <w:sz w:val="26"/>
                <w:szCs w:val="26"/>
                <w:shd w:val="clear" w:color="auto" w:fill="FFFFFF"/>
              </w:rPr>
              <w:t>"English"</w:t>
            </w:r>
            <w:r w:rsidRPr="00657435">
              <w:rPr>
                <w:rFonts w:ascii="Garamond" w:hAnsi="Garamond" w:cs="Times New Roman"/>
                <w:noProof/>
                <w:color w:val="2E2E2E"/>
                <w:sz w:val="26"/>
                <w:szCs w:val="26"/>
                <w:shd w:val="clear" w:color="auto" w:fill="FFFFFF"/>
              </w:rPr>
              <w:t> ) ) -&gt; 161</w:t>
            </w:r>
          </w:p>
        </w:tc>
      </w:tr>
      <w:tr w:rsidR="00E312CE" w:rsidRPr="00657435" w14:paraId="19BB0134" w14:textId="77777777" w:rsidTr="00657435">
        <w:tc>
          <w:tcPr>
            <w:tcW w:w="4111" w:type="dxa"/>
          </w:tcPr>
          <w:p w14:paraId="447A2ADD"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lastRenderedPageBreak/>
              <w:t>Date</w:t>
            </w:r>
          </w:p>
        </w:tc>
        <w:tc>
          <w:tcPr>
            <w:tcW w:w="4915" w:type="dxa"/>
          </w:tcPr>
          <w:p w14:paraId="1DCB424B"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May 25, 2025</w:t>
            </w:r>
          </w:p>
        </w:tc>
      </w:tr>
      <w:tr w:rsidR="00E312CE" w:rsidRPr="00657435" w14:paraId="5E1D560B" w14:textId="77777777" w:rsidTr="00657435">
        <w:tc>
          <w:tcPr>
            <w:tcW w:w="4111" w:type="dxa"/>
          </w:tcPr>
          <w:p w14:paraId="3629E615"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Years</w:t>
            </w:r>
          </w:p>
        </w:tc>
        <w:tc>
          <w:tcPr>
            <w:tcW w:w="4915" w:type="dxa"/>
          </w:tcPr>
          <w:p w14:paraId="006C8455"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2015-2025</w:t>
            </w:r>
          </w:p>
        </w:tc>
      </w:tr>
      <w:tr w:rsidR="00E312CE" w:rsidRPr="00657435" w14:paraId="29F03EDD" w14:textId="77777777" w:rsidTr="00657435">
        <w:tc>
          <w:tcPr>
            <w:tcW w:w="4111" w:type="dxa"/>
          </w:tcPr>
          <w:p w14:paraId="267AC16F"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Document Type</w:t>
            </w:r>
          </w:p>
        </w:tc>
        <w:tc>
          <w:tcPr>
            <w:tcW w:w="4915" w:type="dxa"/>
          </w:tcPr>
          <w:p w14:paraId="4E5B91AB"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Article</w:t>
            </w:r>
          </w:p>
        </w:tc>
      </w:tr>
      <w:tr w:rsidR="00E312CE" w:rsidRPr="00657435" w14:paraId="07281F18" w14:textId="77777777" w:rsidTr="00657435">
        <w:tc>
          <w:tcPr>
            <w:tcW w:w="4111" w:type="dxa"/>
          </w:tcPr>
          <w:p w14:paraId="00A873CA"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Publication stage</w:t>
            </w:r>
          </w:p>
        </w:tc>
        <w:tc>
          <w:tcPr>
            <w:tcW w:w="4915" w:type="dxa"/>
          </w:tcPr>
          <w:p w14:paraId="596EB525"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Limit to Final</w:t>
            </w:r>
          </w:p>
        </w:tc>
      </w:tr>
      <w:tr w:rsidR="00E312CE" w:rsidRPr="00657435" w14:paraId="70AD70CF" w14:textId="77777777" w:rsidTr="00657435">
        <w:tc>
          <w:tcPr>
            <w:tcW w:w="4111" w:type="dxa"/>
          </w:tcPr>
          <w:p w14:paraId="293D81B6"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Language</w:t>
            </w:r>
          </w:p>
        </w:tc>
        <w:tc>
          <w:tcPr>
            <w:tcW w:w="4915" w:type="dxa"/>
          </w:tcPr>
          <w:p w14:paraId="37A5DA1E" w14:textId="77777777" w:rsidR="00E312CE" w:rsidRPr="00657435" w:rsidRDefault="00E312CE" w:rsidP="00657435">
            <w:pPr>
              <w:pStyle w:val="ListParagraph"/>
              <w:tabs>
                <w:tab w:val="left" w:pos="142"/>
                <w:tab w:val="left" w:pos="284"/>
                <w:tab w:val="left" w:pos="426"/>
              </w:tabs>
              <w:ind w:left="0"/>
              <w:jc w:val="both"/>
              <w:rPr>
                <w:rFonts w:ascii="Garamond" w:hAnsi="Garamond" w:cs="Times New Roman"/>
                <w:noProof/>
                <w:sz w:val="26"/>
                <w:szCs w:val="26"/>
              </w:rPr>
            </w:pPr>
            <w:r w:rsidRPr="00657435">
              <w:rPr>
                <w:rFonts w:ascii="Garamond" w:hAnsi="Garamond" w:cs="Times New Roman"/>
                <w:noProof/>
                <w:sz w:val="26"/>
                <w:szCs w:val="26"/>
              </w:rPr>
              <w:t>Limit to English</w:t>
            </w:r>
          </w:p>
        </w:tc>
      </w:tr>
    </w:tbl>
    <w:p w14:paraId="50D13281" w14:textId="77777777" w:rsidR="0016005C" w:rsidRPr="00657435" w:rsidRDefault="0016005C" w:rsidP="00657435">
      <w:pPr>
        <w:tabs>
          <w:tab w:val="left" w:pos="142"/>
          <w:tab w:val="left" w:pos="284"/>
          <w:tab w:val="left" w:pos="426"/>
        </w:tabs>
        <w:spacing w:after="0" w:line="240" w:lineRule="auto"/>
        <w:jc w:val="both"/>
        <w:rPr>
          <w:rFonts w:ascii="Garamond" w:hAnsi="Garamond" w:cs="Times New Roman"/>
          <w:noProof/>
          <w:sz w:val="26"/>
          <w:szCs w:val="26"/>
        </w:rPr>
      </w:pPr>
    </w:p>
    <w:p w14:paraId="73AEF8A1" w14:textId="0B20C218" w:rsidR="00896D01" w:rsidRPr="00657435" w:rsidRDefault="00160DB4" w:rsidP="00657435">
      <w:pPr>
        <w:pStyle w:val="ListParagraph"/>
        <w:numPr>
          <w:ilvl w:val="0"/>
          <w:numId w:val="4"/>
        </w:numPr>
        <w:tabs>
          <w:tab w:val="left" w:pos="142"/>
          <w:tab w:val="left" w:pos="284"/>
          <w:tab w:val="left" w:pos="426"/>
        </w:tabs>
        <w:spacing w:after="0" w:line="240" w:lineRule="auto"/>
        <w:ind w:left="0" w:firstLine="0"/>
        <w:jc w:val="both"/>
        <w:rPr>
          <w:rFonts w:ascii="Garamond" w:hAnsi="Garamond" w:cs="Times New Roman"/>
          <w:b/>
          <w:bCs/>
          <w:noProof/>
          <w:sz w:val="26"/>
          <w:szCs w:val="26"/>
        </w:rPr>
      </w:pPr>
      <w:r w:rsidRPr="00657435">
        <w:rPr>
          <w:rFonts w:ascii="Garamond" w:hAnsi="Garamond" w:cs="Times New Roman"/>
          <w:b/>
          <w:bCs/>
          <w:noProof/>
          <w:sz w:val="26"/>
          <w:szCs w:val="26"/>
        </w:rPr>
        <w:t>Systematic</w:t>
      </w:r>
      <w:r w:rsidR="00896D01" w:rsidRPr="00657435">
        <w:rPr>
          <w:rFonts w:ascii="Garamond" w:hAnsi="Garamond" w:cs="Times New Roman"/>
          <w:b/>
          <w:bCs/>
          <w:noProof/>
          <w:sz w:val="26"/>
          <w:szCs w:val="26"/>
        </w:rPr>
        <w:t xml:space="preserve"> Review</w:t>
      </w:r>
    </w:p>
    <w:p w14:paraId="1A853D7D" w14:textId="232A9B2D" w:rsidR="00896D01" w:rsidRPr="00657435" w:rsidRDefault="000668D8" w:rsidP="00657435">
      <w:pPr>
        <w:pStyle w:val="ListParagraph"/>
        <w:tabs>
          <w:tab w:val="left" w:pos="142"/>
          <w:tab w:val="left" w:pos="284"/>
          <w:tab w:val="left" w:pos="426"/>
        </w:tabs>
        <w:spacing w:after="0" w:line="240" w:lineRule="auto"/>
        <w:ind w:left="0"/>
        <w:jc w:val="both"/>
        <w:rPr>
          <w:rFonts w:ascii="Garamond" w:eastAsia="Times New Roman" w:hAnsi="Garamond" w:cs="Times New Roman"/>
          <w:noProof/>
          <w:kern w:val="0"/>
          <w:sz w:val="26"/>
          <w:szCs w:val="26"/>
          <w:lang w:eastAsia="en-ID"/>
          <w14:ligatures w14:val="none"/>
        </w:rPr>
      </w:pPr>
      <w:r w:rsidRPr="00657435">
        <w:rPr>
          <w:rFonts w:ascii="Garamond" w:eastAsia="Times New Roman" w:hAnsi="Garamond" w:cs="Times New Roman"/>
          <w:noProof/>
          <w:kern w:val="0"/>
          <w:sz w:val="26"/>
          <w:szCs w:val="26"/>
          <w:lang w:eastAsia="en-ID"/>
          <w14:ligatures w14:val="none"/>
        </w:rPr>
        <w:t xml:space="preserve">This study employs a systematic review methodology to synthesise and critically assess existing research on educational strategies and learning models utilised in fostering science education and critical thinking skills at the basic level during the Society 5.0 era. This review adheres to the PRISMA (Preferred Reporting Items for Systematic Reviews and Meta-Analyses) paradigm, as illustrated in Fig. 1, encompassing the processes of identification, screening, and eligibility assessment to guarantee transparency and methodological integrity </w:t>
      </w:r>
      <w:r w:rsidR="00C35AB7" w:rsidRPr="00657435">
        <w:rPr>
          <w:rFonts w:ascii="Garamond" w:eastAsia="Times New Roman" w:hAnsi="Garamond" w:cs="Times New Roman"/>
          <w:noProof/>
          <w:kern w:val="0"/>
          <w:sz w:val="26"/>
          <w:szCs w:val="26"/>
          <w:lang w:eastAsia="en-ID"/>
          <w14:ligatures w14:val="none"/>
        </w:rPr>
        <w:fldChar w:fldCharType="begin"/>
      </w:r>
      <w:r w:rsidR="000675C6" w:rsidRPr="00657435">
        <w:rPr>
          <w:rFonts w:ascii="Garamond" w:eastAsia="Times New Roman" w:hAnsi="Garamond" w:cs="Times New Roman"/>
          <w:noProof/>
          <w:kern w:val="0"/>
          <w:sz w:val="26"/>
          <w:szCs w:val="26"/>
          <w:lang w:eastAsia="en-ID"/>
          <w14:ligatures w14:val="none"/>
        </w:rPr>
        <w:instrText xml:space="preserve"> ADDIN ZOTERO_ITEM CSL_CITATION {"citationID":"Orjln1PU","properties":{"formattedCitation":"(Moher et al., 2009; Page et al., 2021)","plainCitation":"(Moher et al., 2009; Page et al., 2021)","noteIndex":0},"citationItems":[{"id":"5JXIUwDs/wegxkKZu","uris":["http://zotero.org/users/local/f3vqrivG/items/PRLDTFWQ"],"itemData":{"id":773,"type":"article-journal","container-title":"Open medicine : a peer-reviewed, independent, open-access journal","DOI":"10.1016/j.jclinepi.2009.06.005","journalAbbreviation":"Open medicine : a peer-reviewed, independent, open-access journal","page":"e123-30","title":"Moher D, Liberati A, Tetzlaff J, Altman DG, Group PPreferred reporting items for systematic reviews and meta-analyses: the PRISMA statement. PLoS Med 6: e1000097","volume":"3","author":[{"family":"Moher","given":"David"},{"family":"Liberati","given":"Alessandro"},{"family":"Tetzlaff","given":"Jennifer"},{"family":"Altman","given":"Douglas"}],"issued":{"date-parts":[["2009",7,21]]}}},{"id":"5JXIUwDs/MGiLIsCD","uris":["http://zotero.org/users/local/f3vqrivG/items/HNSZ7XSK"],"itemData":{"id":774,"type":"article-journal","container-title":"BMJ","DOI":"10.1136/bmj.n71","journalAbbreviation":"BMJ","page":"n71","title":"The PRISMA 2020 statement: An updated guideline for reporting systematic reviews","volume":"372","author":[{"family":"Page","given":"Matthew"},{"family":"Mckenzie","given":"Joanne"},{"family":"Bossuyt","given":"Patrick"},{"family":"Boutron","given":"Isabelle"},{"family":"Hoffmann","given":"Tammy"},{"family":"Mulrow","given":"Cynthia"},{"family":"Shamseer","given":"Larissa"},{"family":"Tetzlaff","given":"Jennifer"},{"family":"Akl","given":"Elie"},{"family":"Brennan","given":"Sue"},{"family":"Chou","given":"Roger"},{"family":"Glanville","given":"Julie"},{"family":"Grimshaw","given":"Jeremy"},{"family":"Hróbjartsson","given":"Asbjørn"},{"family":"Lalu","given":"Manoj"},{"family":"Li","given":"Tianjing"},{"family":"Loder","given":"Elizabeth"},{"family":"Mayo-Wilson","given":"Evan"},{"family":"Mcdonald","given":"Steve"},{"family":"Moher","given":"David"}],"issued":{"date-parts":[["2021",3,29]]}}}],"schema":"https://github.com/citation-style-language/schema/raw/master/csl-citation.json"} </w:instrText>
      </w:r>
      <w:r w:rsidR="00C35AB7" w:rsidRPr="00657435">
        <w:rPr>
          <w:rFonts w:ascii="Garamond" w:eastAsia="Times New Roman" w:hAnsi="Garamond" w:cs="Times New Roman"/>
          <w:noProof/>
          <w:kern w:val="0"/>
          <w:sz w:val="26"/>
          <w:szCs w:val="26"/>
          <w:lang w:eastAsia="en-ID"/>
          <w14:ligatures w14:val="none"/>
        </w:rPr>
        <w:fldChar w:fldCharType="separate"/>
      </w:r>
      <w:r w:rsidR="00C35AB7" w:rsidRPr="00657435">
        <w:rPr>
          <w:rFonts w:ascii="Garamond" w:eastAsia="Times New Roman" w:hAnsi="Garamond" w:cs="Times New Roman"/>
          <w:noProof/>
          <w:kern w:val="0"/>
          <w:sz w:val="26"/>
          <w:szCs w:val="26"/>
          <w:lang w:eastAsia="en-ID"/>
          <w14:ligatures w14:val="none"/>
        </w:rPr>
        <w:t>(Moher et al., 2009; Page et al., 2021)</w:t>
      </w:r>
      <w:r w:rsidR="00C35AB7" w:rsidRPr="00657435">
        <w:rPr>
          <w:rFonts w:ascii="Garamond" w:eastAsia="Times New Roman" w:hAnsi="Garamond" w:cs="Times New Roman"/>
          <w:noProof/>
          <w:kern w:val="0"/>
          <w:sz w:val="26"/>
          <w:szCs w:val="26"/>
          <w:lang w:eastAsia="en-ID"/>
          <w14:ligatures w14:val="none"/>
        </w:rPr>
        <w:fldChar w:fldCharType="end"/>
      </w:r>
      <w:r w:rsidR="00896D01" w:rsidRPr="00657435">
        <w:rPr>
          <w:rFonts w:ascii="Garamond" w:eastAsia="Times New Roman" w:hAnsi="Garamond" w:cs="Times New Roman"/>
          <w:noProof/>
          <w:kern w:val="0"/>
          <w:sz w:val="26"/>
          <w:szCs w:val="26"/>
          <w:lang w:eastAsia="en-ID"/>
          <w14:ligatures w14:val="none"/>
        </w:rPr>
        <w:t>.</w:t>
      </w:r>
    </w:p>
    <w:p w14:paraId="13AC84CC" w14:textId="77777777" w:rsidR="00657435" w:rsidRPr="00657435" w:rsidRDefault="000668D8" w:rsidP="00657435">
      <w:pPr>
        <w:pStyle w:val="NormalWeb"/>
        <w:tabs>
          <w:tab w:val="left" w:pos="142"/>
          <w:tab w:val="left" w:pos="284"/>
          <w:tab w:val="left" w:pos="426"/>
        </w:tabs>
        <w:spacing w:before="0" w:beforeAutospacing="0" w:after="0" w:afterAutospacing="0"/>
        <w:jc w:val="both"/>
        <w:rPr>
          <w:rFonts w:ascii="Garamond" w:hAnsi="Garamond"/>
          <w:b/>
          <w:bCs/>
          <w:noProof/>
          <w:sz w:val="26"/>
          <w:szCs w:val="26"/>
        </w:rPr>
      </w:pPr>
      <w:r w:rsidRPr="00657435">
        <w:rPr>
          <w:rFonts w:ascii="Garamond" w:hAnsi="Garamond"/>
          <w:b/>
          <w:bCs/>
          <w:noProof/>
          <w:sz w:val="26"/>
          <w:szCs w:val="26"/>
        </w:rPr>
        <w:t>This systematic review aims to address the second research question:</w:t>
      </w:r>
    </w:p>
    <w:p w14:paraId="4A0914A9" w14:textId="33C16CFE" w:rsidR="000668D8" w:rsidRPr="00657435" w:rsidRDefault="000668D8"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eastAsiaTheme="minorHAnsi" w:hAnsi="Garamond"/>
          <w:noProof/>
          <w:kern w:val="2"/>
          <w:sz w:val="26"/>
          <w:szCs w:val="26"/>
          <w:lang w:eastAsia="en-US"/>
          <w14:ligatures w14:val="standardContextual"/>
        </w:rPr>
        <w:t xml:space="preserve">Q2: </w:t>
      </w:r>
      <w:r w:rsidR="00EE6102" w:rsidRPr="00657435">
        <w:rPr>
          <w:rFonts w:ascii="Garamond" w:eastAsiaTheme="minorHAnsi" w:hAnsi="Garamond"/>
          <w:noProof/>
          <w:kern w:val="2"/>
          <w:sz w:val="26"/>
          <w:szCs w:val="26"/>
          <w:lang w:eastAsia="en-US"/>
          <w14:ligatures w14:val="standardContextual"/>
        </w:rPr>
        <w:t>What educational methodologies and learning frameworks are utilised in science teaching and in cultivating critical thinking skills in elementary education throughout the Society 5.0 era?</w:t>
      </w:r>
    </w:p>
    <w:p w14:paraId="56210710" w14:textId="29F3BE2D" w:rsidR="00160DB4"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03A46F44" wp14:editId="7033C7BE">
            <wp:extent cx="4175760" cy="3398520"/>
            <wp:effectExtent l="19050" t="19050" r="152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5760" cy="3398520"/>
                    </a:xfrm>
                    <a:prstGeom prst="rect">
                      <a:avLst/>
                    </a:prstGeom>
                    <a:noFill/>
                    <a:ln>
                      <a:solidFill>
                        <a:schemeClr val="tx1"/>
                      </a:solidFill>
                    </a:ln>
                  </pic:spPr>
                </pic:pic>
              </a:graphicData>
            </a:graphic>
          </wp:inline>
        </w:drawing>
      </w:r>
    </w:p>
    <w:p w14:paraId="59D2FE3F" w14:textId="77777777" w:rsidR="00896D01" w:rsidRPr="00657435" w:rsidRDefault="00896D01" w:rsidP="00657435">
      <w:pPr>
        <w:pStyle w:val="NormalWeb"/>
        <w:tabs>
          <w:tab w:val="left" w:pos="142"/>
          <w:tab w:val="left" w:pos="284"/>
          <w:tab w:val="left" w:pos="426"/>
          <w:tab w:val="left" w:pos="2190"/>
        </w:tabs>
        <w:spacing w:before="0" w:beforeAutospacing="0" w:after="0" w:afterAutospacing="0"/>
        <w:jc w:val="both"/>
        <w:rPr>
          <w:rStyle w:val="Strong"/>
          <w:rFonts w:ascii="Garamond" w:eastAsiaTheme="majorEastAsia" w:hAnsi="Garamond"/>
          <w:noProof/>
          <w:sz w:val="26"/>
          <w:szCs w:val="26"/>
        </w:rPr>
      </w:pPr>
      <w:r w:rsidRPr="00657435">
        <w:rPr>
          <w:rStyle w:val="Strong"/>
          <w:rFonts w:ascii="Garamond" w:eastAsiaTheme="majorEastAsia" w:hAnsi="Garamond"/>
          <w:noProof/>
          <w:sz w:val="26"/>
          <w:szCs w:val="26"/>
        </w:rPr>
        <w:t>Fig. 1 Prisma Flow Cart</w:t>
      </w:r>
    </w:p>
    <w:p w14:paraId="0E70AE53" w14:textId="77777777" w:rsidR="00896D01" w:rsidRPr="00657435" w:rsidRDefault="00896D01" w:rsidP="00657435">
      <w:pPr>
        <w:pStyle w:val="NormalWeb"/>
        <w:tabs>
          <w:tab w:val="left" w:pos="142"/>
          <w:tab w:val="left" w:pos="284"/>
          <w:tab w:val="left" w:pos="426"/>
        </w:tabs>
        <w:spacing w:before="0" w:beforeAutospacing="0" w:after="0" w:afterAutospacing="0"/>
        <w:jc w:val="both"/>
        <w:rPr>
          <w:rStyle w:val="Strong"/>
          <w:rFonts w:ascii="Garamond" w:eastAsiaTheme="majorEastAsia" w:hAnsi="Garamond"/>
          <w:b w:val="0"/>
          <w:bCs w:val="0"/>
          <w:noProof/>
          <w:sz w:val="26"/>
          <w:szCs w:val="26"/>
        </w:rPr>
      </w:pPr>
    </w:p>
    <w:p w14:paraId="13DC6E29" w14:textId="77777777" w:rsidR="00896D01" w:rsidRPr="00657435" w:rsidRDefault="00896D01" w:rsidP="00657435">
      <w:pPr>
        <w:pStyle w:val="NormalWeb"/>
        <w:numPr>
          <w:ilvl w:val="0"/>
          <w:numId w:val="5"/>
        </w:numPr>
        <w:tabs>
          <w:tab w:val="left" w:pos="142"/>
          <w:tab w:val="left" w:pos="284"/>
          <w:tab w:val="left" w:pos="426"/>
        </w:tabs>
        <w:spacing w:before="0" w:beforeAutospacing="0" w:after="0" w:afterAutospacing="0"/>
        <w:ind w:left="0" w:firstLine="0"/>
        <w:jc w:val="both"/>
        <w:rPr>
          <w:rStyle w:val="Strong"/>
          <w:rFonts w:ascii="Garamond" w:eastAsiaTheme="majorEastAsia" w:hAnsi="Garamond"/>
          <w:noProof/>
          <w:sz w:val="26"/>
          <w:szCs w:val="26"/>
        </w:rPr>
      </w:pPr>
      <w:r w:rsidRPr="00657435">
        <w:rPr>
          <w:rStyle w:val="Strong"/>
          <w:rFonts w:ascii="Garamond" w:eastAsiaTheme="majorEastAsia" w:hAnsi="Garamond"/>
          <w:noProof/>
          <w:sz w:val="26"/>
          <w:szCs w:val="26"/>
        </w:rPr>
        <w:t>Identification</w:t>
      </w:r>
    </w:p>
    <w:p w14:paraId="776E3BB2" w14:textId="17809615" w:rsidR="00896D01" w:rsidRPr="00657435" w:rsidRDefault="00802D2B"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sz w:val="26"/>
          <w:szCs w:val="26"/>
        </w:rPr>
        <w:t xml:space="preserve">The article identification process in this systematic review was conducted by extending the search keywords used in the prior bibliometric analysis, followed by a more stringent refinement through clearly defined inclusion and exclusion criteria. The search strategy employed Boolean operators to ensure comprehensive coverage of the literature. Specifically, the AND operator was used to connect core concepts such as “science learning” and “critical thinking,” while the OR operator captured relevant variations, </w:t>
      </w:r>
      <w:r w:rsidRPr="00657435">
        <w:rPr>
          <w:rFonts w:ascii="Garamond" w:hAnsi="Garamond"/>
          <w:sz w:val="26"/>
          <w:szCs w:val="26"/>
        </w:rPr>
        <w:lastRenderedPageBreak/>
        <w:t>including “Society 5.0,” “critical thinking skills,” and “science education.” A systematic search was performed using a predefined search string on May 25, 2025, resulting in 161 articles, which were subsequently screened based on their relevance to the specified keywords.</w:t>
      </w:r>
    </w:p>
    <w:p w14:paraId="277F1F54" w14:textId="591CD9D9" w:rsidR="00896D01" w:rsidRPr="00657435" w:rsidRDefault="00896D01" w:rsidP="00657435">
      <w:pPr>
        <w:pStyle w:val="NormalWeb"/>
        <w:numPr>
          <w:ilvl w:val="0"/>
          <w:numId w:val="5"/>
        </w:numPr>
        <w:tabs>
          <w:tab w:val="left" w:pos="142"/>
          <w:tab w:val="left" w:pos="284"/>
          <w:tab w:val="left" w:pos="426"/>
        </w:tabs>
        <w:spacing w:before="0" w:beforeAutospacing="0" w:after="0" w:afterAutospacing="0"/>
        <w:ind w:left="0" w:firstLine="0"/>
        <w:jc w:val="both"/>
        <w:rPr>
          <w:rStyle w:val="Strong"/>
          <w:rFonts w:ascii="Garamond" w:eastAsiaTheme="majorEastAsia" w:hAnsi="Garamond"/>
          <w:noProof/>
          <w:sz w:val="26"/>
          <w:szCs w:val="26"/>
        </w:rPr>
      </w:pPr>
      <w:r w:rsidRPr="00657435">
        <w:rPr>
          <w:rStyle w:val="Strong"/>
          <w:rFonts w:ascii="Garamond" w:eastAsiaTheme="majorEastAsia" w:hAnsi="Garamond"/>
          <w:noProof/>
          <w:sz w:val="26"/>
          <w:szCs w:val="26"/>
        </w:rPr>
        <w:t>Screening</w:t>
      </w:r>
    </w:p>
    <w:p w14:paraId="4AA97CA3" w14:textId="77777777" w:rsidR="000668D8" w:rsidRPr="00657435" w:rsidRDefault="000668D8" w:rsidP="00657435">
      <w:pPr>
        <w:pStyle w:val="NormalWeb"/>
        <w:tabs>
          <w:tab w:val="left" w:pos="142"/>
          <w:tab w:val="left" w:pos="284"/>
          <w:tab w:val="left" w:pos="426"/>
        </w:tabs>
        <w:spacing w:before="0" w:beforeAutospacing="0" w:after="0" w:afterAutospacing="0"/>
        <w:jc w:val="both"/>
        <w:rPr>
          <w:rStyle w:val="Strong"/>
          <w:rFonts w:ascii="Garamond" w:eastAsiaTheme="majorEastAsia" w:hAnsi="Garamond"/>
          <w:b w:val="0"/>
          <w:bCs w:val="0"/>
          <w:noProof/>
          <w:sz w:val="26"/>
          <w:szCs w:val="26"/>
        </w:rPr>
      </w:pPr>
      <w:bookmarkStart w:id="2" w:name="_Hlk199688299"/>
      <w:r w:rsidRPr="00657435">
        <w:rPr>
          <w:rStyle w:val="Strong"/>
          <w:rFonts w:ascii="Garamond" w:eastAsiaTheme="majorEastAsia" w:hAnsi="Garamond"/>
          <w:b w:val="0"/>
          <w:bCs w:val="0"/>
          <w:noProof/>
          <w:sz w:val="26"/>
          <w:szCs w:val="26"/>
        </w:rPr>
        <w:t>The screening method excluded publications published prior to 2015 and non-journal documents. Only final-stage publications in English that are accessible in open access were included to guarantee transparency and validity. This thorough search yielded 65 pertinent publications across several domains within the social sciences (refer to Table 2).</w:t>
      </w:r>
    </w:p>
    <w:p w14:paraId="6930BEF6" w14:textId="77777777" w:rsidR="00657435" w:rsidRDefault="00657435" w:rsidP="00657435">
      <w:pPr>
        <w:pStyle w:val="NormalWeb"/>
        <w:tabs>
          <w:tab w:val="left" w:pos="142"/>
          <w:tab w:val="left" w:pos="284"/>
          <w:tab w:val="left" w:pos="426"/>
        </w:tabs>
        <w:spacing w:before="0" w:beforeAutospacing="0" w:after="0" w:afterAutospacing="0"/>
        <w:jc w:val="both"/>
        <w:rPr>
          <w:rStyle w:val="Strong"/>
          <w:rFonts w:ascii="Garamond" w:eastAsiaTheme="majorEastAsia" w:hAnsi="Garamond"/>
          <w:noProof/>
          <w:sz w:val="26"/>
          <w:szCs w:val="26"/>
        </w:rPr>
      </w:pPr>
    </w:p>
    <w:p w14:paraId="5C0EC76B" w14:textId="0D82ACED" w:rsidR="00896D01" w:rsidRPr="00657435" w:rsidRDefault="00896D01" w:rsidP="00657435">
      <w:pPr>
        <w:pStyle w:val="NormalWeb"/>
        <w:tabs>
          <w:tab w:val="left" w:pos="142"/>
          <w:tab w:val="left" w:pos="284"/>
          <w:tab w:val="left" w:pos="426"/>
        </w:tabs>
        <w:spacing w:before="0" w:beforeAutospacing="0" w:after="0" w:afterAutospacing="0"/>
        <w:jc w:val="both"/>
        <w:rPr>
          <w:rStyle w:val="Strong"/>
          <w:rFonts w:ascii="Garamond" w:eastAsiaTheme="majorEastAsia" w:hAnsi="Garamond"/>
          <w:noProof/>
          <w:sz w:val="26"/>
          <w:szCs w:val="26"/>
        </w:rPr>
      </w:pPr>
      <w:r w:rsidRPr="00657435">
        <w:rPr>
          <w:rStyle w:val="Strong"/>
          <w:rFonts w:ascii="Garamond" w:eastAsiaTheme="majorEastAsia" w:hAnsi="Garamond"/>
          <w:noProof/>
          <w:sz w:val="26"/>
          <w:szCs w:val="26"/>
        </w:rPr>
        <w:t>Table 2</w:t>
      </w:r>
      <w:r w:rsidR="0016005C" w:rsidRPr="00657435">
        <w:rPr>
          <w:rStyle w:val="Strong"/>
          <w:rFonts w:ascii="Garamond" w:eastAsiaTheme="majorEastAsia" w:hAnsi="Garamond"/>
          <w:noProof/>
          <w:sz w:val="26"/>
          <w:szCs w:val="26"/>
        </w:rPr>
        <w:t xml:space="preserve">. </w:t>
      </w:r>
      <w:r w:rsidRPr="00657435">
        <w:rPr>
          <w:rStyle w:val="Strong"/>
          <w:rFonts w:ascii="Garamond" w:eastAsiaTheme="majorEastAsia" w:hAnsi="Garamond"/>
          <w:noProof/>
          <w:sz w:val="26"/>
          <w:szCs w:val="26"/>
        </w:rPr>
        <w:t>Inclusion and exclusion criteria</w:t>
      </w:r>
    </w:p>
    <w:tbl>
      <w:tblPr>
        <w:tblStyle w:val="TableGrid"/>
        <w:tblW w:w="0" w:type="auto"/>
        <w:jc w:val="center"/>
        <w:tblLook w:val="04A0" w:firstRow="1" w:lastRow="0" w:firstColumn="1" w:lastColumn="0" w:noHBand="0" w:noVBand="1"/>
      </w:tblPr>
      <w:tblGrid>
        <w:gridCol w:w="2766"/>
        <w:gridCol w:w="2765"/>
        <w:gridCol w:w="2765"/>
      </w:tblGrid>
      <w:tr w:rsidR="00E312CE" w:rsidRPr="00657435" w14:paraId="2C5939E3" w14:textId="77777777" w:rsidTr="00657435">
        <w:trPr>
          <w:jc w:val="center"/>
        </w:trPr>
        <w:tc>
          <w:tcPr>
            <w:tcW w:w="2766" w:type="dxa"/>
          </w:tcPr>
          <w:p w14:paraId="401934EF"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b/>
                <w:bCs/>
                <w:noProof/>
                <w:sz w:val="26"/>
                <w:szCs w:val="26"/>
              </w:rPr>
            </w:pPr>
            <w:r w:rsidRPr="00657435">
              <w:rPr>
                <w:rFonts w:ascii="Garamond" w:hAnsi="Garamond"/>
                <w:b/>
                <w:bCs/>
                <w:noProof/>
                <w:sz w:val="26"/>
                <w:szCs w:val="26"/>
              </w:rPr>
              <w:t>Criteria</w:t>
            </w:r>
          </w:p>
        </w:tc>
        <w:tc>
          <w:tcPr>
            <w:tcW w:w="2765" w:type="dxa"/>
          </w:tcPr>
          <w:p w14:paraId="22109735"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b/>
                <w:bCs/>
                <w:noProof/>
                <w:sz w:val="26"/>
                <w:szCs w:val="26"/>
              </w:rPr>
            </w:pPr>
            <w:r w:rsidRPr="00657435">
              <w:rPr>
                <w:rFonts w:ascii="Garamond" w:hAnsi="Garamond"/>
                <w:b/>
                <w:bCs/>
                <w:noProof/>
                <w:sz w:val="26"/>
                <w:szCs w:val="26"/>
              </w:rPr>
              <w:t>Inclusion</w:t>
            </w:r>
          </w:p>
        </w:tc>
        <w:tc>
          <w:tcPr>
            <w:tcW w:w="2765" w:type="dxa"/>
          </w:tcPr>
          <w:p w14:paraId="718592AF"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b/>
                <w:bCs/>
                <w:noProof/>
                <w:sz w:val="26"/>
                <w:szCs w:val="26"/>
              </w:rPr>
            </w:pPr>
            <w:r w:rsidRPr="00657435">
              <w:rPr>
                <w:rFonts w:ascii="Garamond" w:hAnsi="Garamond"/>
                <w:b/>
                <w:bCs/>
                <w:noProof/>
                <w:sz w:val="26"/>
                <w:szCs w:val="26"/>
              </w:rPr>
              <w:t>Exclusion</w:t>
            </w:r>
          </w:p>
        </w:tc>
      </w:tr>
      <w:tr w:rsidR="00E312CE" w:rsidRPr="00657435" w14:paraId="5C3CB866" w14:textId="77777777" w:rsidTr="00657435">
        <w:trPr>
          <w:jc w:val="center"/>
        </w:trPr>
        <w:tc>
          <w:tcPr>
            <w:tcW w:w="2766" w:type="dxa"/>
          </w:tcPr>
          <w:p w14:paraId="760E8C1C"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Timeline</w:t>
            </w:r>
          </w:p>
        </w:tc>
        <w:tc>
          <w:tcPr>
            <w:tcW w:w="2765" w:type="dxa"/>
          </w:tcPr>
          <w:p w14:paraId="2721F56D"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2015-2025</w:t>
            </w:r>
          </w:p>
        </w:tc>
        <w:tc>
          <w:tcPr>
            <w:tcW w:w="2765" w:type="dxa"/>
          </w:tcPr>
          <w:p w14:paraId="5CD115C3" w14:textId="77777777" w:rsidR="00E312CE" w:rsidRPr="00657435" w:rsidRDefault="00E312CE" w:rsidP="00657435">
            <w:pPr>
              <w:pStyle w:val="NormalWeb"/>
              <w:tabs>
                <w:tab w:val="left" w:pos="142"/>
                <w:tab w:val="left" w:pos="284"/>
                <w:tab w:val="left" w:pos="426"/>
              </w:tabs>
              <w:spacing w:before="0" w:beforeAutospacing="0" w:after="0" w:afterAutospacing="0"/>
              <w:rPr>
                <w:rFonts w:ascii="Garamond" w:hAnsi="Garamond"/>
                <w:noProof/>
                <w:sz w:val="26"/>
                <w:szCs w:val="26"/>
              </w:rPr>
            </w:pPr>
            <w:r w:rsidRPr="00657435">
              <w:rPr>
                <w:rFonts w:ascii="Garamond" w:hAnsi="Garamond"/>
                <w:noProof/>
                <w:sz w:val="26"/>
                <w:szCs w:val="26"/>
              </w:rPr>
              <w:t>&lt;2015</w:t>
            </w:r>
          </w:p>
        </w:tc>
      </w:tr>
      <w:tr w:rsidR="00E312CE" w:rsidRPr="00657435" w14:paraId="18830201" w14:textId="77777777" w:rsidTr="00657435">
        <w:trPr>
          <w:jc w:val="center"/>
        </w:trPr>
        <w:tc>
          <w:tcPr>
            <w:tcW w:w="2766" w:type="dxa"/>
          </w:tcPr>
          <w:p w14:paraId="207B03BD"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Document Type</w:t>
            </w:r>
          </w:p>
        </w:tc>
        <w:tc>
          <w:tcPr>
            <w:tcW w:w="2765" w:type="dxa"/>
          </w:tcPr>
          <w:p w14:paraId="2A4B259B"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Article</w:t>
            </w:r>
          </w:p>
        </w:tc>
        <w:tc>
          <w:tcPr>
            <w:tcW w:w="2765" w:type="dxa"/>
          </w:tcPr>
          <w:p w14:paraId="1FEE6AC6" w14:textId="77777777" w:rsidR="00E312CE" w:rsidRPr="00657435" w:rsidRDefault="00E312CE" w:rsidP="00657435">
            <w:pPr>
              <w:pStyle w:val="NormalWeb"/>
              <w:tabs>
                <w:tab w:val="left" w:pos="142"/>
                <w:tab w:val="left" w:pos="284"/>
                <w:tab w:val="left" w:pos="426"/>
              </w:tabs>
              <w:spacing w:before="0" w:beforeAutospacing="0" w:after="0" w:afterAutospacing="0"/>
              <w:rPr>
                <w:rFonts w:ascii="Garamond" w:hAnsi="Garamond"/>
                <w:noProof/>
                <w:sz w:val="26"/>
                <w:szCs w:val="26"/>
              </w:rPr>
            </w:pPr>
            <w:r w:rsidRPr="00657435">
              <w:rPr>
                <w:rFonts w:ascii="Garamond" w:hAnsi="Garamond"/>
                <w:noProof/>
                <w:sz w:val="26"/>
                <w:szCs w:val="26"/>
              </w:rPr>
              <w:t>Book chapter, Conference paper, Review, Note, Conference Review</w:t>
            </w:r>
          </w:p>
        </w:tc>
      </w:tr>
      <w:tr w:rsidR="00E312CE" w:rsidRPr="00657435" w14:paraId="302D221E" w14:textId="77777777" w:rsidTr="00657435">
        <w:trPr>
          <w:jc w:val="center"/>
        </w:trPr>
        <w:tc>
          <w:tcPr>
            <w:tcW w:w="2766" w:type="dxa"/>
          </w:tcPr>
          <w:p w14:paraId="74F08C32"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Publication Stage</w:t>
            </w:r>
          </w:p>
        </w:tc>
        <w:tc>
          <w:tcPr>
            <w:tcW w:w="2765" w:type="dxa"/>
          </w:tcPr>
          <w:p w14:paraId="4B3F3DF8"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Final</w:t>
            </w:r>
          </w:p>
        </w:tc>
        <w:tc>
          <w:tcPr>
            <w:tcW w:w="2765" w:type="dxa"/>
          </w:tcPr>
          <w:p w14:paraId="54392AD5" w14:textId="77777777" w:rsidR="00E312CE" w:rsidRPr="00657435" w:rsidRDefault="00E312CE" w:rsidP="00657435">
            <w:pPr>
              <w:pStyle w:val="NormalWeb"/>
              <w:tabs>
                <w:tab w:val="left" w:pos="142"/>
                <w:tab w:val="left" w:pos="284"/>
                <w:tab w:val="left" w:pos="426"/>
              </w:tabs>
              <w:spacing w:before="0" w:beforeAutospacing="0" w:after="0" w:afterAutospacing="0"/>
              <w:rPr>
                <w:rFonts w:ascii="Garamond" w:hAnsi="Garamond"/>
                <w:noProof/>
                <w:sz w:val="26"/>
                <w:szCs w:val="26"/>
              </w:rPr>
            </w:pPr>
            <w:r w:rsidRPr="00657435">
              <w:rPr>
                <w:rFonts w:ascii="Garamond" w:hAnsi="Garamond"/>
                <w:noProof/>
                <w:sz w:val="26"/>
                <w:szCs w:val="26"/>
              </w:rPr>
              <w:t>In-press</w:t>
            </w:r>
          </w:p>
        </w:tc>
      </w:tr>
      <w:tr w:rsidR="00E312CE" w:rsidRPr="00657435" w14:paraId="218CC0E3" w14:textId="77777777" w:rsidTr="00657435">
        <w:trPr>
          <w:jc w:val="center"/>
        </w:trPr>
        <w:tc>
          <w:tcPr>
            <w:tcW w:w="2766" w:type="dxa"/>
          </w:tcPr>
          <w:p w14:paraId="4E82B296"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Source Type</w:t>
            </w:r>
          </w:p>
        </w:tc>
        <w:tc>
          <w:tcPr>
            <w:tcW w:w="2765" w:type="dxa"/>
          </w:tcPr>
          <w:p w14:paraId="070A0E98"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Journal</w:t>
            </w:r>
          </w:p>
        </w:tc>
        <w:tc>
          <w:tcPr>
            <w:tcW w:w="2765" w:type="dxa"/>
          </w:tcPr>
          <w:p w14:paraId="27DE987D" w14:textId="77777777" w:rsidR="00E312CE" w:rsidRPr="00657435" w:rsidRDefault="00E312CE" w:rsidP="00657435">
            <w:pPr>
              <w:pStyle w:val="NormalWeb"/>
              <w:tabs>
                <w:tab w:val="left" w:pos="142"/>
                <w:tab w:val="left" w:pos="284"/>
                <w:tab w:val="left" w:pos="426"/>
              </w:tabs>
              <w:spacing w:before="0" w:beforeAutospacing="0" w:after="0" w:afterAutospacing="0"/>
              <w:rPr>
                <w:rFonts w:ascii="Garamond" w:hAnsi="Garamond"/>
                <w:noProof/>
                <w:sz w:val="26"/>
                <w:szCs w:val="26"/>
              </w:rPr>
            </w:pPr>
            <w:r w:rsidRPr="00657435">
              <w:rPr>
                <w:rFonts w:ascii="Garamond" w:hAnsi="Garamond"/>
                <w:noProof/>
                <w:sz w:val="26"/>
                <w:szCs w:val="26"/>
              </w:rPr>
              <w:t>Non-journal</w:t>
            </w:r>
          </w:p>
        </w:tc>
      </w:tr>
      <w:tr w:rsidR="00E312CE" w:rsidRPr="00657435" w14:paraId="2D31D024" w14:textId="77777777" w:rsidTr="00657435">
        <w:trPr>
          <w:jc w:val="center"/>
        </w:trPr>
        <w:tc>
          <w:tcPr>
            <w:tcW w:w="2766" w:type="dxa"/>
          </w:tcPr>
          <w:p w14:paraId="2FD09743"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Language</w:t>
            </w:r>
          </w:p>
        </w:tc>
        <w:tc>
          <w:tcPr>
            <w:tcW w:w="2765" w:type="dxa"/>
          </w:tcPr>
          <w:p w14:paraId="7047B429"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English</w:t>
            </w:r>
          </w:p>
        </w:tc>
        <w:tc>
          <w:tcPr>
            <w:tcW w:w="2765" w:type="dxa"/>
          </w:tcPr>
          <w:p w14:paraId="09D78C66" w14:textId="77777777" w:rsidR="00E312CE" w:rsidRPr="00657435" w:rsidRDefault="00E312CE" w:rsidP="00657435">
            <w:pPr>
              <w:pStyle w:val="NormalWeb"/>
              <w:tabs>
                <w:tab w:val="left" w:pos="142"/>
                <w:tab w:val="left" w:pos="284"/>
                <w:tab w:val="left" w:pos="426"/>
              </w:tabs>
              <w:spacing w:before="0" w:beforeAutospacing="0" w:after="0" w:afterAutospacing="0"/>
              <w:rPr>
                <w:rFonts w:ascii="Garamond" w:hAnsi="Garamond"/>
                <w:noProof/>
                <w:sz w:val="26"/>
                <w:szCs w:val="26"/>
              </w:rPr>
            </w:pPr>
            <w:r w:rsidRPr="00657435">
              <w:rPr>
                <w:rFonts w:ascii="Garamond" w:hAnsi="Garamond"/>
                <w:noProof/>
                <w:sz w:val="26"/>
                <w:szCs w:val="26"/>
              </w:rPr>
              <w:t>Non- English</w:t>
            </w:r>
          </w:p>
        </w:tc>
      </w:tr>
      <w:tr w:rsidR="00E312CE" w:rsidRPr="00657435" w14:paraId="42C97446" w14:textId="77777777" w:rsidTr="00657435">
        <w:trPr>
          <w:jc w:val="center"/>
        </w:trPr>
        <w:tc>
          <w:tcPr>
            <w:tcW w:w="2766" w:type="dxa"/>
          </w:tcPr>
          <w:p w14:paraId="6B0AB98F"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Accessibility</w:t>
            </w:r>
          </w:p>
        </w:tc>
        <w:tc>
          <w:tcPr>
            <w:tcW w:w="2765" w:type="dxa"/>
          </w:tcPr>
          <w:p w14:paraId="157DA3E7"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All Open Access</w:t>
            </w:r>
          </w:p>
        </w:tc>
        <w:tc>
          <w:tcPr>
            <w:tcW w:w="2765" w:type="dxa"/>
          </w:tcPr>
          <w:p w14:paraId="10059FA0" w14:textId="77777777" w:rsidR="00E312CE" w:rsidRPr="00657435" w:rsidRDefault="00E312CE" w:rsidP="00657435">
            <w:pPr>
              <w:pStyle w:val="NormalWeb"/>
              <w:tabs>
                <w:tab w:val="left" w:pos="142"/>
                <w:tab w:val="left" w:pos="284"/>
                <w:tab w:val="left" w:pos="426"/>
              </w:tabs>
              <w:spacing w:before="0" w:beforeAutospacing="0" w:after="0" w:afterAutospacing="0"/>
              <w:rPr>
                <w:rFonts w:ascii="Garamond" w:hAnsi="Garamond"/>
                <w:noProof/>
                <w:sz w:val="26"/>
                <w:szCs w:val="26"/>
              </w:rPr>
            </w:pPr>
            <w:r w:rsidRPr="00657435">
              <w:rPr>
                <w:rFonts w:ascii="Garamond" w:hAnsi="Garamond"/>
                <w:noProof/>
                <w:sz w:val="26"/>
                <w:szCs w:val="26"/>
              </w:rPr>
              <w:t>Gold, Green, hybrid gold, bronze</w:t>
            </w:r>
          </w:p>
        </w:tc>
      </w:tr>
      <w:tr w:rsidR="00E312CE" w:rsidRPr="00657435" w14:paraId="48206B81" w14:textId="77777777" w:rsidTr="00657435">
        <w:trPr>
          <w:jc w:val="center"/>
        </w:trPr>
        <w:tc>
          <w:tcPr>
            <w:tcW w:w="2766" w:type="dxa"/>
          </w:tcPr>
          <w:p w14:paraId="457E6F48"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Subject Area</w:t>
            </w:r>
          </w:p>
        </w:tc>
        <w:tc>
          <w:tcPr>
            <w:tcW w:w="2765" w:type="dxa"/>
          </w:tcPr>
          <w:p w14:paraId="1E7FEC6F" w14:textId="77777777" w:rsidR="00E312CE" w:rsidRPr="00657435" w:rsidRDefault="00E312CE" w:rsidP="00657435">
            <w:pPr>
              <w:pStyle w:val="NormalWeb"/>
              <w:tabs>
                <w:tab w:val="left" w:pos="142"/>
                <w:tab w:val="left" w:pos="284"/>
                <w:tab w:val="left" w:pos="426"/>
              </w:tabs>
              <w:spacing w:before="0" w:beforeAutospacing="0" w:after="0" w:afterAutospacing="0"/>
              <w:jc w:val="both"/>
              <w:rPr>
                <w:rFonts w:ascii="Garamond" w:hAnsi="Garamond"/>
                <w:noProof/>
                <w:sz w:val="26"/>
                <w:szCs w:val="26"/>
              </w:rPr>
            </w:pPr>
            <w:r w:rsidRPr="00657435">
              <w:rPr>
                <w:rFonts w:ascii="Garamond" w:hAnsi="Garamond"/>
                <w:noProof/>
                <w:sz w:val="26"/>
                <w:szCs w:val="26"/>
              </w:rPr>
              <w:t>Social Science</w:t>
            </w:r>
          </w:p>
        </w:tc>
        <w:tc>
          <w:tcPr>
            <w:tcW w:w="2765" w:type="dxa"/>
          </w:tcPr>
          <w:p w14:paraId="2C9E188C" w14:textId="77777777" w:rsidR="00E312CE" w:rsidRPr="00657435" w:rsidRDefault="00E312CE" w:rsidP="00657435">
            <w:pPr>
              <w:pStyle w:val="NormalWeb"/>
              <w:tabs>
                <w:tab w:val="left" w:pos="142"/>
                <w:tab w:val="left" w:pos="284"/>
                <w:tab w:val="left" w:pos="426"/>
              </w:tabs>
              <w:spacing w:before="0" w:beforeAutospacing="0" w:after="0" w:afterAutospacing="0"/>
              <w:rPr>
                <w:rFonts w:ascii="Garamond" w:hAnsi="Garamond"/>
                <w:noProof/>
                <w:sz w:val="26"/>
                <w:szCs w:val="26"/>
              </w:rPr>
            </w:pPr>
            <w:r w:rsidRPr="00657435">
              <w:rPr>
                <w:rFonts w:ascii="Garamond" w:hAnsi="Garamond"/>
                <w:noProof/>
                <w:sz w:val="26"/>
                <w:szCs w:val="26"/>
              </w:rPr>
              <w:t>Non-social science</w:t>
            </w:r>
          </w:p>
        </w:tc>
      </w:tr>
    </w:tbl>
    <w:p w14:paraId="7E5D28B6" w14:textId="1917C625" w:rsidR="00160DB4" w:rsidRPr="00657435" w:rsidRDefault="00160DB4" w:rsidP="00657435">
      <w:pPr>
        <w:tabs>
          <w:tab w:val="left" w:pos="142"/>
          <w:tab w:val="left" w:pos="284"/>
          <w:tab w:val="left" w:pos="426"/>
        </w:tabs>
        <w:spacing w:after="0" w:line="240" w:lineRule="auto"/>
        <w:jc w:val="both"/>
        <w:rPr>
          <w:rFonts w:ascii="Garamond" w:hAnsi="Garamond" w:cs="Times New Roman"/>
          <w:b/>
          <w:bCs/>
          <w:noProof/>
          <w:sz w:val="26"/>
          <w:szCs w:val="26"/>
        </w:rPr>
      </w:pPr>
    </w:p>
    <w:bookmarkEnd w:id="2"/>
    <w:p w14:paraId="65C2AC11" w14:textId="39FE3679" w:rsidR="00896D01" w:rsidRPr="00657435" w:rsidRDefault="00896D01" w:rsidP="00657435">
      <w:pPr>
        <w:pStyle w:val="NormalWeb"/>
        <w:numPr>
          <w:ilvl w:val="0"/>
          <w:numId w:val="5"/>
        </w:numPr>
        <w:tabs>
          <w:tab w:val="left" w:pos="142"/>
          <w:tab w:val="left" w:pos="284"/>
          <w:tab w:val="left" w:pos="426"/>
        </w:tabs>
        <w:spacing w:before="0" w:beforeAutospacing="0" w:after="0" w:afterAutospacing="0"/>
        <w:ind w:left="0" w:firstLine="0"/>
        <w:jc w:val="both"/>
        <w:rPr>
          <w:rStyle w:val="Strong"/>
          <w:rFonts w:ascii="Garamond" w:eastAsiaTheme="majorEastAsia" w:hAnsi="Garamond"/>
          <w:noProof/>
          <w:sz w:val="26"/>
          <w:szCs w:val="26"/>
        </w:rPr>
      </w:pPr>
      <w:r w:rsidRPr="00657435">
        <w:rPr>
          <w:rStyle w:val="Strong"/>
          <w:rFonts w:ascii="Garamond" w:eastAsiaTheme="majorEastAsia" w:hAnsi="Garamond"/>
          <w:noProof/>
          <w:sz w:val="26"/>
          <w:szCs w:val="26"/>
        </w:rPr>
        <w:t>Eligibility</w:t>
      </w:r>
    </w:p>
    <w:p w14:paraId="78500348" w14:textId="2B8DE412" w:rsidR="00896D01" w:rsidRPr="00657435" w:rsidRDefault="000668D8" w:rsidP="00657435">
      <w:pPr>
        <w:pStyle w:val="NormalWeb"/>
        <w:tabs>
          <w:tab w:val="left" w:pos="142"/>
          <w:tab w:val="left" w:pos="284"/>
          <w:tab w:val="left" w:pos="426"/>
        </w:tabs>
        <w:spacing w:before="0" w:beforeAutospacing="0" w:after="0" w:afterAutospacing="0"/>
        <w:jc w:val="both"/>
        <w:rPr>
          <w:rStyle w:val="Strong"/>
          <w:rFonts w:ascii="Garamond" w:eastAsiaTheme="majorEastAsia" w:hAnsi="Garamond"/>
          <w:b w:val="0"/>
          <w:bCs w:val="0"/>
          <w:noProof/>
          <w:sz w:val="26"/>
          <w:szCs w:val="26"/>
        </w:rPr>
      </w:pPr>
      <w:r w:rsidRPr="00657435">
        <w:rPr>
          <w:rStyle w:val="Strong"/>
          <w:rFonts w:ascii="Garamond" w:eastAsiaTheme="majorEastAsia" w:hAnsi="Garamond"/>
          <w:b w:val="0"/>
          <w:bCs w:val="0"/>
          <w:noProof/>
          <w:sz w:val="26"/>
          <w:szCs w:val="26"/>
        </w:rPr>
        <w:t>The subsequent phase involved verifying that the articles' content aligned with the study's direction and objectives through abstract-level examination. Thirty-one papers were removed for lacking the terms “learning,” “Society 5.0,” or “critical thinking” in their abstracts. This signifies that these notions are not the primary emphasis of the research in issue. This screening guaranteed that only articles directly related to the study's primary themes were incorporated into the final analysis</w:t>
      </w:r>
      <w:r w:rsidR="00896D01" w:rsidRPr="00657435">
        <w:rPr>
          <w:rStyle w:val="Strong"/>
          <w:rFonts w:ascii="Garamond" w:eastAsiaTheme="majorEastAsia" w:hAnsi="Garamond"/>
          <w:b w:val="0"/>
          <w:bCs w:val="0"/>
          <w:sz w:val="26"/>
          <w:szCs w:val="26"/>
        </w:rPr>
        <w:t>.</w:t>
      </w:r>
    </w:p>
    <w:p w14:paraId="309ACBB5" w14:textId="7CE9C2B7" w:rsidR="00896D01" w:rsidRPr="00657435" w:rsidRDefault="00896D01" w:rsidP="00657435">
      <w:pPr>
        <w:pStyle w:val="NormalWeb"/>
        <w:numPr>
          <w:ilvl w:val="0"/>
          <w:numId w:val="5"/>
        </w:numPr>
        <w:tabs>
          <w:tab w:val="left" w:pos="142"/>
          <w:tab w:val="left" w:pos="284"/>
          <w:tab w:val="left" w:pos="426"/>
        </w:tabs>
        <w:spacing w:before="0" w:beforeAutospacing="0" w:after="0" w:afterAutospacing="0"/>
        <w:ind w:left="0" w:firstLine="0"/>
        <w:jc w:val="both"/>
        <w:rPr>
          <w:rStyle w:val="Strong"/>
          <w:rFonts w:ascii="Garamond" w:eastAsiaTheme="majorEastAsia" w:hAnsi="Garamond"/>
          <w:noProof/>
          <w:sz w:val="26"/>
          <w:szCs w:val="26"/>
        </w:rPr>
      </w:pPr>
      <w:r w:rsidRPr="00657435">
        <w:rPr>
          <w:rStyle w:val="Strong"/>
          <w:rFonts w:ascii="Garamond" w:eastAsiaTheme="majorEastAsia" w:hAnsi="Garamond"/>
          <w:noProof/>
          <w:sz w:val="26"/>
          <w:szCs w:val="26"/>
        </w:rPr>
        <w:t>Inclusion</w:t>
      </w:r>
    </w:p>
    <w:p w14:paraId="44C13320" w14:textId="77777777" w:rsidR="000668D8" w:rsidRPr="00657435" w:rsidRDefault="000668D8"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noProof/>
          <w:sz w:val="26"/>
          <w:szCs w:val="26"/>
        </w:rPr>
        <w:t>The last stage yielded 34 publications that fulfilled all inclusion criteria, particularly those pertaining to the context of learning and the cultivation of critical thinking abilities in the Society 5.0 era. This selection is crucial to guarantee that the findings and analyses are genuinely pertinent to the study's direction. Incorporating studies beyond this context introduces bias and may compromise the validity and generalisability of the conclusions derived from this study.</w:t>
      </w:r>
    </w:p>
    <w:p w14:paraId="23F7CD93" w14:textId="74CE0903" w:rsidR="00896D01" w:rsidRPr="00657435" w:rsidRDefault="00896D01" w:rsidP="00657435">
      <w:pPr>
        <w:pStyle w:val="NormalWeb"/>
        <w:numPr>
          <w:ilvl w:val="0"/>
          <w:numId w:val="5"/>
        </w:numPr>
        <w:tabs>
          <w:tab w:val="left" w:pos="142"/>
          <w:tab w:val="left" w:pos="284"/>
          <w:tab w:val="left" w:pos="426"/>
        </w:tabs>
        <w:spacing w:before="0" w:beforeAutospacing="0" w:after="0" w:afterAutospacing="0"/>
        <w:ind w:left="0" w:firstLine="0"/>
        <w:jc w:val="both"/>
        <w:rPr>
          <w:rStyle w:val="Strong"/>
          <w:rFonts w:ascii="Garamond" w:eastAsiaTheme="majorEastAsia" w:hAnsi="Garamond"/>
          <w:noProof/>
          <w:sz w:val="26"/>
          <w:szCs w:val="26"/>
        </w:rPr>
      </w:pPr>
      <w:r w:rsidRPr="00657435">
        <w:rPr>
          <w:rStyle w:val="Strong"/>
          <w:rFonts w:ascii="Garamond" w:eastAsiaTheme="majorEastAsia" w:hAnsi="Garamond"/>
          <w:noProof/>
          <w:sz w:val="26"/>
          <w:szCs w:val="26"/>
        </w:rPr>
        <w:t>Data Extraction and analysis</w:t>
      </w:r>
    </w:p>
    <w:p w14:paraId="312698D4" w14:textId="77777777" w:rsidR="001B006E" w:rsidRPr="00657435" w:rsidRDefault="001B006E"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noProof/>
          <w:sz w:val="26"/>
          <w:szCs w:val="26"/>
        </w:rPr>
        <w:t xml:space="preserve">A comprehensive synthesis of 34 empirical investigations was performed utilising Microsoft Excel for organised classification. This research examined multiple educational interventions inside Indonesian elementary schools, employing various methodological techniques including Design and Development Research (DDR), Research and Development (R&amp;D), mixed methods, quasi-experimental designs, and quantitative correlational analyses. The teaching frameworks employed comprised STEM, Project-Based Learning (PBL), Flipped Classroom, Constructivism, and Argument-Driven Inquiry (ADI), showcasing a variety of educational advances. The antecedents in these research were classified into three primary domains: (1) learning models (e.g., STEM, PBL, ADI), (2) media and digital integration (e.g., Augmented Reality, Whiteboard Animation), and (3) pedagogical tactics (e.g., inquiry-based learning and multimodal approaches). The effects </w:t>
      </w:r>
      <w:r w:rsidRPr="00657435">
        <w:rPr>
          <w:rFonts w:ascii="Garamond" w:hAnsi="Garamond" w:cs="Times New Roman"/>
          <w:noProof/>
          <w:sz w:val="26"/>
          <w:szCs w:val="26"/>
        </w:rPr>
        <w:lastRenderedPageBreak/>
        <w:t xml:space="preserve">are categorised into: (1) cognitive learning outcomes (including scientific literacy and critical thinking), (2) 21st-century skills (encompassing cooperation, communication, and self-regulation), and (3) social-emotional development (comprising empathy and environmental awareness). </w:t>
      </w:r>
    </w:p>
    <w:p w14:paraId="2924D2BD" w14:textId="6B4AD6FD" w:rsidR="001B006E" w:rsidRPr="00657435" w:rsidRDefault="001B006E"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noProof/>
          <w:sz w:val="26"/>
          <w:szCs w:val="26"/>
        </w:rPr>
        <w:t>Quantitative methodologies predominate in the examined literature (21 out of 34 studies), with quasi-experimental designs being the most prevalent (12 studies), succeeded by correlational methods such as Structural Equation Modelling (SEM) and survey techniques (3 studies). Four research employed mixed methodologies, whilst three investigations utilised qualitative approaches, including descriptive and content analysis. A limited quantity of studies included developmental research designs, including R&amp;D and DDR (4 studies), alongside papers derived from conceptual investigations and literature reviews, encompassing bibliometric analysis, systematic reviews, and literature reviews (5 studies). Narrative synthesis was employed to discern methodological trends, prevalent instructional models (including STEM, PBL, and discovery learning), and theoretical deficiencies, culminating in a thorough mapping of critical thinking-oriented scientific education at the elementary level in Indonesia. The extracted data summary is given in the Appendix (refer to Table A1).</w:t>
      </w:r>
    </w:p>
    <w:p w14:paraId="0B9016E1" w14:textId="6E00D11B" w:rsidR="00851D42" w:rsidRPr="00657435" w:rsidRDefault="00851D42" w:rsidP="00657435">
      <w:pPr>
        <w:tabs>
          <w:tab w:val="left" w:pos="142"/>
          <w:tab w:val="left" w:pos="284"/>
          <w:tab w:val="left" w:pos="426"/>
        </w:tabs>
        <w:spacing w:after="0" w:line="240" w:lineRule="auto"/>
        <w:jc w:val="both"/>
        <w:rPr>
          <w:rFonts w:ascii="Garamond" w:hAnsi="Garamond" w:cs="Times New Roman"/>
          <w:noProof/>
          <w:sz w:val="26"/>
          <w:szCs w:val="26"/>
        </w:rPr>
      </w:pPr>
    </w:p>
    <w:p w14:paraId="560858EC" w14:textId="6E78C327" w:rsidR="0016005C" w:rsidRPr="00657435" w:rsidRDefault="00657435" w:rsidP="00657435">
      <w:pPr>
        <w:pStyle w:val="ListParagraph"/>
        <w:numPr>
          <w:ilvl w:val="0"/>
          <w:numId w:val="1"/>
        </w:numPr>
        <w:tabs>
          <w:tab w:val="left" w:pos="142"/>
          <w:tab w:val="left" w:pos="284"/>
          <w:tab w:val="left" w:pos="426"/>
        </w:tabs>
        <w:spacing w:after="0" w:line="240" w:lineRule="auto"/>
        <w:ind w:left="0" w:firstLine="0"/>
        <w:jc w:val="center"/>
        <w:rPr>
          <w:rFonts w:ascii="Garamond" w:hAnsi="Garamond" w:cs="Times New Roman"/>
          <w:b/>
          <w:bCs/>
          <w:noProof/>
          <w:sz w:val="26"/>
          <w:szCs w:val="26"/>
        </w:rPr>
      </w:pPr>
      <w:r w:rsidRPr="00657435">
        <w:rPr>
          <w:rFonts w:ascii="Garamond" w:hAnsi="Garamond" w:cs="Times New Roman"/>
          <w:noProof/>
          <w:sz w:val="26"/>
          <w:szCs w:val="26"/>
        </w:rPr>
        <w:t>RESULTS</w:t>
      </w:r>
    </w:p>
    <w:p w14:paraId="3520F1AC" w14:textId="77777777" w:rsidR="00657435" w:rsidRDefault="00657435" w:rsidP="00657435">
      <w:pPr>
        <w:tabs>
          <w:tab w:val="left" w:pos="142"/>
          <w:tab w:val="left" w:pos="284"/>
          <w:tab w:val="left" w:pos="426"/>
        </w:tabs>
        <w:spacing w:after="0" w:line="240" w:lineRule="auto"/>
        <w:jc w:val="both"/>
        <w:rPr>
          <w:rFonts w:ascii="Garamond" w:hAnsi="Garamond" w:cs="Times New Roman"/>
          <w:noProof/>
          <w:sz w:val="26"/>
          <w:szCs w:val="26"/>
        </w:rPr>
      </w:pPr>
    </w:p>
    <w:p w14:paraId="669488A4" w14:textId="0E1ACC6C" w:rsidR="001B006E" w:rsidRPr="00657435" w:rsidRDefault="001B006E"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Q1: What are the prevailing trends and advancements in research on learning within the framework of Society 5.0 over the last ten years?</w:t>
      </w:r>
    </w:p>
    <w:p w14:paraId="3A217513" w14:textId="77777777" w:rsidR="00C0400A" w:rsidRPr="00657435" w:rsidRDefault="00C0400A"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p>
    <w:p w14:paraId="1C6E0A84" w14:textId="7D763022" w:rsidR="001B006E" w:rsidRPr="00657435" w:rsidRDefault="001B006E"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noProof/>
          <w:sz w:val="26"/>
          <w:szCs w:val="26"/>
        </w:rPr>
        <w:t>Table 3 delineates the primary bibliometric data encapsulating the fundamental attributes of the information examined in this study. A total of 161 documents were identified from 107 distinct publication sources between 2015 and 2025. The annual growth rate of 19.62% indicates a sustained rise in scholarly interest in this subject. The mean age of the papers is 2.85 years, signifying that the examined material is comparatively contemporary. The citation impact is significant, averaging 13.71 citations per document, which suggests a robust scientific influence. The international collaboration rate of 19.88% signifies a moderate yet notable degree of cross-border engagement in the creation of this work.</w:t>
      </w:r>
    </w:p>
    <w:p w14:paraId="520EA996" w14:textId="29437862" w:rsidR="00C35AB7" w:rsidRPr="00657435" w:rsidRDefault="00C35AB7" w:rsidP="00657435">
      <w:pPr>
        <w:tabs>
          <w:tab w:val="left" w:pos="142"/>
          <w:tab w:val="left" w:pos="284"/>
          <w:tab w:val="left" w:pos="426"/>
        </w:tabs>
        <w:spacing w:after="0" w:line="240" w:lineRule="auto"/>
        <w:jc w:val="both"/>
        <w:rPr>
          <w:rFonts w:ascii="Garamond" w:hAnsi="Garamond" w:cs="Times New Roman"/>
          <w:sz w:val="26"/>
          <w:szCs w:val="26"/>
        </w:rPr>
      </w:pPr>
    </w:p>
    <w:p w14:paraId="178CB6F0"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b/>
          <w:bCs/>
          <w:sz w:val="26"/>
          <w:szCs w:val="26"/>
        </w:rPr>
      </w:pPr>
      <w:r w:rsidRPr="00657435">
        <w:rPr>
          <w:rFonts w:ascii="Garamond" w:hAnsi="Garamond" w:cs="Times New Roman"/>
          <w:b/>
          <w:bCs/>
          <w:sz w:val="26"/>
          <w:szCs w:val="26"/>
        </w:rPr>
        <w:t>Tabel 3. Main Information</w:t>
      </w:r>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246"/>
      </w:tblGrid>
      <w:tr w:rsidR="00E312CE" w:rsidRPr="00657435" w14:paraId="14756822" w14:textId="77777777" w:rsidTr="00657435">
        <w:trPr>
          <w:trHeight w:val="300"/>
        </w:trPr>
        <w:tc>
          <w:tcPr>
            <w:tcW w:w="2542" w:type="pct"/>
            <w:noWrap/>
            <w:vAlign w:val="bottom"/>
            <w:hideMark/>
          </w:tcPr>
          <w:p w14:paraId="6DA4C238"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b/>
                <w:bCs/>
                <w:sz w:val="26"/>
                <w:szCs w:val="26"/>
                <w:lang w:eastAsia="en-ID"/>
              </w:rPr>
            </w:pPr>
            <w:r w:rsidRPr="00657435">
              <w:rPr>
                <w:rFonts w:ascii="Garamond" w:eastAsia="Times New Roman" w:hAnsi="Garamond" w:cs="Times New Roman"/>
                <w:b/>
                <w:bCs/>
                <w:sz w:val="26"/>
                <w:szCs w:val="26"/>
                <w:lang w:eastAsia="en-ID"/>
              </w:rPr>
              <w:t>Description</w:t>
            </w:r>
          </w:p>
        </w:tc>
        <w:tc>
          <w:tcPr>
            <w:tcW w:w="2458" w:type="pct"/>
            <w:noWrap/>
            <w:vAlign w:val="bottom"/>
            <w:hideMark/>
          </w:tcPr>
          <w:p w14:paraId="64BBD208"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b/>
                <w:bCs/>
                <w:sz w:val="26"/>
                <w:szCs w:val="26"/>
                <w:lang w:eastAsia="en-ID"/>
              </w:rPr>
            </w:pPr>
            <w:r w:rsidRPr="00657435">
              <w:rPr>
                <w:rFonts w:ascii="Garamond" w:eastAsia="Times New Roman" w:hAnsi="Garamond" w:cs="Times New Roman"/>
                <w:b/>
                <w:bCs/>
                <w:sz w:val="26"/>
                <w:szCs w:val="26"/>
                <w:lang w:eastAsia="en-ID"/>
              </w:rPr>
              <w:t>Results</w:t>
            </w:r>
          </w:p>
        </w:tc>
      </w:tr>
      <w:tr w:rsidR="00E312CE" w:rsidRPr="00657435" w14:paraId="58D2D472" w14:textId="77777777" w:rsidTr="00657435">
        <w:trPr>
          <w:trHeight w:val="300"/>
        </w:trPr>
        <w:tc>
          <w:tcPr>
            <w:tcW w:w="2542" w:type="pct"/>
            <w:noWrap/>
            <w:vAlign w:val="bottom"/>
            <w:hideMark/>
          </w:tcPr>
          <w:p w14:paraId="7728910D"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Timespan</w:t>
            </w:r>
          </w:p>
        </w:tc>
        <w:tc>
          <w:tcPr>
            <w:tcW w:w="2458" w:type="pct"/>
            <w:noWrap/>
            <w:vAlign w:val="bottom"/>
            <w:hideMark/>
          </w:tcPr>
          <w:p w14:paraId="6A51A278"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2015:2025</w:t>
            </w:r>
          </w:p>
        </w:tc>
      </w:tr>
      <w:tr w:rsidR="00E312CE" w:rsidRPr="00657435" w14:paraId="551924EF" w14:textId="77777777" w:rsidTr="00657435">
        <w:trPr>
          <w:trHeight w:val="300"/>
        </w:trPr>
        <w:tc>
          <w:tcPr>
            <w:tcW w:w="2542" w:type="pct"/>
            <w:noWrap/>
            <w:vAlign w:val="bottom"/>
            <w:hideMark/>
          </w:tcPr>
          <w:p w14:paraId="2B2D071C"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Sources (Journals, Books, etc)</w:t>
            </w:r>
          </w:p>
        </w:tc>
        <w:tc>
          <w:tcPr>
            <w:tcW w:w="2458" w:type="pct"/>
            <w:noWrap/>
            <w:vAlign w:val="bottom"/>
            <w:hideMark/>
          </w:tcPr>
          <w:p w14:paraId="79769403"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107</w:t>
            </w:r>
          </w:p>
        </w:tc>
      </w:tr>
      <w:tr w:rsidR="00E312CE" w:rsidRPr="00657435" w14:paraId="7E32FA2A" w14:textId="77777777" w:rsidTr="00657435">
        <w:trPr>
          <w:trHeight w:val="300"/>
        </w:trPr>
        <w:tc>
          <w:tcPr>
            <w:tcW w:w="2542" w:type="pct"/>
            <w:noWrap/>
            <w:vAlign w:val="bottom"/>
            <w:hideMark/>
          </w:tcPr>
          <w:p w14:paraId="40AAC9C1"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Documents</w:t>
            </w:r>
          </w:p>
        </w:tc>
        <w:tc>
          <w:tcPr>
            <w:tcW w:w="2458" w:type="pct"/>
            <w:noWrap/>
            <w:vAlign w:val="bottom"/>
            <w:hideMark/>
          </w:tcPr>
          <w:p w14:paraId="730ABE49"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161</w:t>
            </w:r>
          </w:p>
        </w:tc>
      </w:tr>
      <w:tr w:rsidR="00E312CE" w:rsidRPr="00657435" w14:paraId="2A67484E" w14:textId="77777777" w:rsidTr="00657435">
        <w:trPr>
          <w:trHeight w:val="300"/>
        </w:trPr>
        <w:tc>
          <w:tcPr>
            <w:tcW w:w="2542" w:type="pct"/>
            <w:noWrap/>
            <w:vAlign w:val="bottom"/>
            <w:hideMark/>
          </w:tcPr>
          <w:p w14:paraId="04B42302"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Annual Growth Rate %</w:t>
            </w:r>
          </w:p>
        </w:tc>
        <w:tc>
          <w:tcPr>
            <w:tcW w:w="2458" w:type="pct"/>
            <w:noWrap/>
            <w:vAlign w:val="bottom"/>
            <w:hideMark/>
          </w:tcPr>
          <w:p w14:paraId="0DAFC00C"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19,62</w:t>
            </w:r>
          </w:p>
        </w:tc>
      </w:tr>
      <w:tr w:rsidR="00E312CE" w:rsidRPr="00657435" w14:paraId="6E2211B1" w14:textId="77777777" w:rsidTr="00657435">
        <w:trPr>
          <w:trHeight w:val="300"/>
        </w:trPr>
        <w:tc>
          <w:tcPr>
            <w:tcW w:w="2542" w:type="pct"/>
            <w:noWrap/>
            <w:vAlign w:val="bottom"/>
            <w:hideMark/>
          </w:tcPr>
          <w:p w14:paraId="574D97CD"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Document Average Age</w:t>
            </w:r>
          </w:p>
        </w:tc>
        <w:tc>
          <w:tcPr>
            <w:tcW w:w="2458" w:type="pct"/>
            <w:noWrap/>
            <w:vAlign w:val="bottom"/>
            <w:hideMark/>
          </w:tcPr>
          <w:p w14:paraId="56C5678B"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2,85</w:t>
            </w:r>
          </w:p>
        </w:tc>
      </w:tr>
      <w:tr w:rsidR="00E312CE" w:rsidRPr="00657435" w14:paraId="3A1CF599" w14:textId="77777777" w:rsidTr="00657435">
        <w:trPr>
          <w:trHeight w:val="300"/>
        </w:trPr>
        <w:tc>
          <w:tcPr>
            <w:tcW w:w="2542" w:type="pct"/>
            <w:noWrap/>
            <w:vAlign w:val="bottom"/>
            <w:hideMark/>
          </w:tcPr>
          <w:p w14:paraId="2C0D971B"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Average citations per doc</w:t>
            </w:r>
          </w:p>
        </w:tc>
        <w:tc>
          <w:tcPr>
            <w:tcW w:w="2458" w:type="pct"/>
            <w:noWrap/>
            <w:vAlign w:val="bottom"/>
            <w:hideMark/>
          </w:tcPr>
          <w:p w14:paraId="206ABE8D"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13,71</w:t>
            </w:r>
          </w:p>
        </w:tc>
      </w:tr>
      <w:tr w:rsidR="00E312CE" w:rsidRPr="00657435" w14:paraId="4926D1E4" w14:textId="77777777" w:rsidTr="00657435">
        <w:trPr>
          <w:trHeight w:val="300"/>
        </w:trPr>
        <w:tc>
          <w:tcPr>
            <w:tcW w:w="2542" w:type="pct"/>
            <w:noWrap/>
            <w:vAlign w:val="bottom"/>
            <w:hideMark/>
          </w:tcPr>
          <w:p w14:paraId="0406C846"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International co-authorships %</w:t>
            </w:r>
          </w:p>
        </w:tc>
        <w:tc>
          <w:tcPr>
            <w:tcW w:w="2458" w:type="pct"/>
            <w:noWrap/>
            <w:vAlign w:val="bottom"/>
            <w:hideMark/>
          </w:tcPr>
          <w:p w14:paraId="133DE92B" w14:textId="77777777" w:rsidR="00E312CE" w:rsidRPr="00657435" w:rsidRDefault="00E312CE" w:rsidP="00657435">
            <w:pPr>
              <w:tabs>
                <w:tab w:val="left" w:pos="142"/>
                <w:tab w:val="left" w:pos="284"/>
                <w:tab w:val="left" w:pos="426"/>
              </w:tabs>
              <w:spacing w:after="0" w:line="240" w:lineRule="auto"/>
              <w:jc w:val="both"/>
              <w:rPr>
                <w:rFonts w:ascii="Garamond" w:eastAsia="Times New Roman" w:hAnsi="Garamond" w:cs="Times New Roman"/>
                <w:sz w:val="26"/>
                <w:szCs w:val="26"/>
                <w:lang w:eastAsia="en-ID"/>
              </w:rPr>
            </w:pPr>
            <w:r w:rsidRPr="00657435">
              <w:rPr>
                <w:rFonts w:ascii="Garamond" w:eastAsia="Times New Roman" w:hAnsi="Garamond" w:cs="Times New Roman"/>
                <w:sz w:val="26"/>
                <w:szCs w:val="26"/>
                <w:lang w:eastAsia="en-ID"/>
              </w:rPr>
              <w:t>19,88</w:t>
            </w:r>
          </w:p>
        </w:tc>
      </w:tr>
    </w:tbl>
    <w:p w14:paraId="6DC38112" w14:textId="3B9F69A5" w:rsidR="00062E25" w:rsidRPr="00657435" w:rsidRDefault="00062E25" w:rsidP="00657435">
      <w:pPr>
        <w:tabs>
          <w:tab w:val="left" w:pos="142"/>
          <w:tab w:val="left" w:pos="284"/>
          <w:tab w:val="left" w:pos="426"/>
        </w:tabs>
        <w:spacing w:after="0" w:line="240" w:lineRule="auto"/>
        <w:jc w:val="both"/>
        <w:rPr>
          <w:rFonts w:ascii="Garamond" w:hAnsi="Garamond" w:cs="Times New Roman"/>
          <w:b/>
          <w:bCs/>
          <w:noProof/>
          <w:sz w:val="26"/>
          <w:szCs w:val="26"/>
        </w:rPr>
      </w:pPr>
    </w:p>
    <w:p w14:paraId="45DB6AD7" w14:textId="77777777" w:rsidR="001B006E" w:rsidRPr="00657435" w:rsidRDefault="001B006E"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noProof/>
          <w:sz w:val="26"/>
          <w:szCs w:val="26"/>
        </w:rPr>
        <w:t>The annual distribution of publications reveals that the number of articles published has increased significantly in recent years (Figure 2). Since 2015, the number of articles has gradually increased from 2 publications to 4 in 2016, although it subsequently declined back to 2 articles in 2017. The growth trajectory exhibited a more consistent pattern starting in 2018 (n = 5), culminating in a gradual climb to 10 articles by 2020.</w:t>
      </w:r>
    </w:p>
    <w:p w14:paraId="1ECF3AB1" w14:textId="77777777" w:rsidR="001B006E" w:rsidRPr="00657435" w:rsidRDefault="001B006E"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noProof/>
          <w:sz w:val="26"/>
          <w:szCs w:val="26"/>
        </w:rPr>
        <w:t xml:space="preserve">A significant increase transpired in 2021 with 14 articles, escalating dramatically to 32 items in 2022. Despite a minor decline in 2023 (n = 30), the number of publications surged again </w:t>
      </w:r>
      <w:r w:rsidRPr="00657435">
        <w:rPr>
          <w:rFonts w:ascii="Garamond" w:hAnsi="Garamond" w:cs="Times New Roman"/>
          <w:noProof/>
          <w:sz w:val="26"/>
          <w:szCs w:val="26"/>
        </w:rPr>
        <w:lastRenderedPageBreak/>
        <w:t>in 2024, reaching 42 articles, so establishing it as the year with the highest scientific productivity in the analysed timeframe. In 2025, there was a decline to 12 articles, likely due to incomplete data gathering for the current year.</w:t>
      </w:r>
    </w:p>
    <w:p w14:paraId="1C34EE7B" w14:textId="15B012D5" w:rsidR="001B006E" w:rsidRPr="00657435" w:rsidRDefault="001B006E"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noProof/>
          <w:sz w:val="26"/>
          <w:szCs w:val="26"/>
        </w:rPr>
        <w:t>This growth signifies the growing scholarly interest in the studied area, particularly post-2020. The COVID-19 pandemic, which triggered a transition in work paradigms and expedited digital advancement, is expected to be the primary driving force. This trend underscores the necessity of a thorough scientific synthesis to comprehend the trajectory and evolution of research in this field more profoundly and systematically.</w:t>
      </w:r>
    </w:p>
    <w:p w14:paraId="6F21B7DC"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sz w:val="26"/>
          <w:szCs w:val="26"/>
        </w:rPr>
      </w:pPr>
    </w:p>
    <w:p w14:paraId="4D839389" w14:textId="319FE176" w:rsidR="00062E25"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6847E007" wp14:editId="782C5FA2">
            <wp:extent cx="5684227" cy="2190492"/>
            <wp:effectExtent l="19050" t="19050" r="1206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1614" cy="2201046"/>
                    </a:xfrm>
                    <a:prstGeom prst="rect">
                      <a:avLst/>
                    </a:prstGeom>
                    <a:noFill/>
                    <a:ln>
                      <a:solidFill>
                        <a:schemeClr val="tx1"/>
                      </a:solidFill>
                    </a:ln>
                  </pic:spPr>
                </pic:pic>
              </a:graphicData>
            </a:graphic>
          </wp:inline>
        </w:drawing>
      </w:r>
    </w:p>
    <w:p w14:paraId="652CD842" w14:textId="0F0B4C74" w:rsidR="00C35AB7" w:rsidRPr="00657435" w:rsidRDefault="00C35AB7" w:rsidP="00657435">
      <w:pPr>
        <w:tabs>
          <w:tab w:val="left" w:pos="142"/>
          <w:tab w:val="left" w:pos="284"/>
          <w:tab w:val="left" w:pos="426"/>
        </w:tabs>
        <w:spacing w:after="0" w:line="240" w:lineRule="auto"/>
        <w:jc w:val="both"/>
        <w:rPr>
          <w:rFonts w:ascii="Garamond" w:hAnsi="Garamond" w:cs="Times New Roman"/>
          <w:b/>
          <w:bCs/>
          <w:sz w:val="26"/>
          <w:szCs w:val="26"/>
        </w:rPr>
      </w:pPr>
      <w:r w:rsidRPr="00657435">
        <w:rPr>
          <w:rFonts w:ascii="Garamond" w:hAnsi="Garamond" w:cs="Times New Roman"/>
          <w:b/>
          <w:bCs/>
          <w:sz w:val="26"/>
          <w:szCs w:val="26"/>
        </w:rPr>
        <w:t>Fig 2 annual scientific product</w:t>
      </w:r>
    </w:p>
    <w:p w14:paraId="588CA57F"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Figure 3 illustrates the leading journals contributing to the discourse on science learning and critical thinking. </w:t>
      </w:r>
      <w:proofErr w:type="spellStart"/>
      <w:r w:rsidRPr="00657435">
        <w:rPr>
          <w:rFonts w:ascii="Garamond" w:hAnsi="Garamond" w:cs="Times New Roman"/>
          <w:sz w:val="26"/>
          <w:szCs w:val="26"/>
        </w:rPr>
        <w:t>Jurnal</w:t>
      </w:r>
      <w:proofErr w:type="spellEnd"/>
      <w:r w:rsidRPr="00657435">
        <w:rPr>
          <w:rFonts w:ascii="Garamond" w:hAnsi="Garamond" w:cs="Times New Roman"/>
          <w:sz w:val="26"/>
          <w:szCs w:val="26"/>
        </w:rPr>
        <w:t xml:space="preserve"> Pendidikan IPA Indonesia emerged as the most prolific, publishing 10 articles, followed by Journal of Education and Learning (7 articles), and Thinking Skills and Creativity alongside Revista Iberoamericana de </w:t>
      </w:r>
      <w:proofErr w:type="spellStart"/>
      <w:r w:rsidRPr="00657435">
        <w:rPr>
          <w:rFonts w:ascii="Garamond" w:hAnsi="Garamond" w:cs="Times New Roman"/>
          <w:sz w:val="26"/>
          <w:szCs w:val="26"/>
        </w:rPr>
        <w:t>Tecnologías</w:t>
      </w:r>
      <w:proofErr w:type="spellEnd"/>
      <w:r w:rsidRPr="00657435">
        <w:rPr>
          <w:rFonts w:ascii="Garamond" w:hAnsi="Garamond" w:cs="Times New Roman"/>
          <w:sz w:val="26"/>
          <w:szCs w:val="26"/>
        </w:rPr>
        <w:t xml:space="preserve"> del </w:t>
      </w:r>
      <w:proofErr w:type="spellStart"/>
      <w:r w:rsidRPr="00657435">
        <w:rPr>
          <w:rFonts w:ascii="Garamond" w:hAnsi="Garamond" w:cs="Times New Roman"/>
          <w:sz w:val="26"/>
          <w:szCs w:val="26"/>
        </w:rPr>
        <w:t>Aprendizaje</w:t>
      </w:r>
      <w:proofErr w:type="spellEnd"/>
      <w:r w:rsidRPr="00657435">
        <w:rPr>
          <w:rFonts w:ascii="Garamond" w:hAnsi="Garamond" w:cs="Times New Roman"/>
          <w:sz w:val="26"/>
          <w:szCs w:val="26"/>
        </w:rPr>
        <w:t xml:space="preserve"> (5 articles each). Other key sources include International Journal of Emerging Technologies in Learning, International Journal of Instruction, and International Journal of Interactive Mobile Technologies (4 articles each).</w:t>
      </w:r>
    </w:p>
    <w:p w14:paraId="26B5CE7B"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Notably, interdisciplinary outlets such as IEEE Access, Applied Sciences (Switzerland), and Computers and Education also featured relevant contributions. This distribution highlights the growing scholarly interest across educational, technological, and policy-related domains, underscoring the strategic relevance of science education and critical thinking in advancing curriculum reform, digital pedagogy, and 21st-century skills development.</w:t>
      </w:r>
    </w:p>
    <w:p w14:paraId="78283D8F" w14:textId="77777777" w:rsidR="00657435" w:rsidRDefault="00657435" w:rsidP="00657435">
      <w:pPr>
        <w:tabs>
          <w:tab w:val="left" w:pos="142"/>
          <w:tab w:val="left" w:pos="284"/>
          <w:tab w:val="left" w:pos="426"/>
        </w:tabs>
        <w:spacing w:after="0" w:line="240" w:lineRule="auto"/>
        <w:jc w:val="both"/>
        <w:rPr>
          <w:rFonts w:ascii="Garamond" w:hAnsi="Garamond" w:cs="Times New Roman"/>
          <w:sz w:val="26"/>
          <w:szCs w:val="26"/>
        </w:rPr>
      </w:pPr>
    </w:p>
    <w:p w14:paraId="13CEC080" w14:textId="5159ABFF" w:rsidR="00C35AB7" w:rsidRPr="00657435" w:rsidRDefault="00E312CE"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noProof/>
          <w:sz w:val="26"/>
          <w:szCs w:val="26"/>
        </w:rPr>
        <w:drawing>
          <wp:inline distT="0" distB="0" distL="0" distR="0" wp14:anchorId="25659CA1" wp14:editId="121F14BE">
            <wp:extent cx="5776903" cy="2173165"/>
            <wp:effectExtent l="19050" t="19050" r="1460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897" cy="2174291"/>
                    </a:xfrm>
                    <a:prstGeom prst="rect">
                      <a:avLst/>
                    </a:prstGeom>
                    <a:noFill/>
                    <a:ln>
                      <a:solidFill>
                        <a:schemeClr val="tx1"/>
                      </a:solidFill>
                    </a:ln>
                  </pic:spPr>
                </pic:pic>
              </a:graphicData>
            </a:graphic>
          </wp:inline>
        </w:drawing>
      </w:r>
    </w:p>
    <w:p w14:paraId="7DBBAB30"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3 most relevant source</w:t>
      </w:r>
    </w:p>
    <w:p w14:paraId="77E14D63"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lastRenderedPageBreak/>
        <w:t>Figure 4 presents the geographical distribution of scientific output based on the authors' country affiliations. Indonesia dominates with 302 publications, significantly surpassing other contributors such as China (32), Australia (31), Malaysia (31), and the United States (31). Other countries with notable participation include Colombia (29), India (18), Japan (13), Mexico (12), and Spain (12), indicating widespread global attention to the topic.</w:t>
      </w:r>
    </w:p>
    <w:p w14:paraId="3C18CFEA" w14:textId="219D5B79" w:rsidR="001B006E"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This pattern reflects the transnational relevance of science education and critical thinking, especially within the context of digital transformation and 21st-century learning. Indonesia’s leading position may signal a concentrated national commitment to advancing educational reform at the foundational level. Meanwhile, the involvement of countries across Asia, the Americas, and Europe underscores the global convergence of academic interest in navigating pedagogical change amid societal complexity</w:t>
      </w:r>
      <w:r w:rsidR="001B006E" w:rsidRPr="00657435">
        <w:rPr>
          <w:rFonts w:ascii="Garamond" w:hAnsi="Garamond" w:cs="Times New Roman"/>
          <w:sz w:val="26"/>
          <w:szCs w:val="26"/>
        </w:rPr>
        <w:t>.</w:t>
      </w:r>
    </w:p>
    <w:p w14:paraId="2BD171C0" w14:textId="434AA976" w:rsidR="00062E25"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123FD568" wp14:editId="5845812A">
            <wp:extent cx="5757545" cy="2213610"/>
            <wp:effectExtent l="19050" t="19050" r="1460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6646" cy="2217109"/>
                    </a:xfrm>
                    <a:prstGeom prst="rect">
                      <a:avLst/>
                    </a:prstGeom>
                    <a:noFill/>
                    <a:ln>
                      <a:solidFill>
                        <a:schemeClr val="tx1"/>
                      </a:solidFill>
                    </a:ln>
                  </pic:spPr>
                </pic:pic>
              </a:graphicData>
            </a:graphic>
          </wp:inline>
        </w:drawing>
      </w:r>
    </w:p>
    <w:p w14:paraId="713EF56F" w14:textId="3D003059"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4 country science</w:t>
      </w:r>
      <w:r w:rsidR="00062E25" w:rsidRPr="00657435">
        <w:rPr>
          <w:rFonts w:ascii="Garamond" w:hAnsi="Garamond" w:cs="Times New Roman"/>
          <w:b/>
          <w:bCs/>
          <w:noProof/>
          <w:sz w:val="26"/>
          <w:szCs w:val="26"/>
        </w:rPr>
        <w:t xml:space="preserve"> </w:t>
      </w:r>
      <w:r w:rsidRPr="00657435">
        <w:rPr>
          <w:rFonts w:ascii="Garamond" w:hAnsi="Garamond" w:cs="Times New Roman"/>
          <w:b/>
          <w:bCs/>
          <w:noProof/>
          <w:sz w:val="26"/>
          <w:szCs w:val="26"/>
        </w:rPr>
        <w:t>product</w:t>
      </w:r>
      <w:r w:rsidR="00062E25" w:rsidRPr="00657435">
        <w:rPr>
          <w:rFonts w:ascii="Garamond" w:hAnsi="Garamond" w:cs="Times New Roman"/>
          <w:b/>
          <w:bCs/>
          <w:noProof/>
          <w:sz w:val="26"/>
          <w:szCs w:val="26"/>
        </w:rPr>
        <w:t>ion</w:t>
      </w:r>
    </w:p>
    <w:p w14:paraId="104A0973" w14:textId="77777777" w:rsidR="00EC4D81" w:rsidRPr="00657435" w:rsidRDefault="00EC4D81"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Figure 5 outlines the countries with the highest academic influence, based on citation frequency in the context of Society 5.0 and digital education. China ranks first with 497 citations, followed by Indonesia (440), the United States (277), Malaysia (200), and Portugal (135). Brazil, Poland, and Colombia contribute moderately, while Saudi Arabia, Australia, and Canada each register between 30 and 40 citations. Several European countries, including Spain, Italy, and France, are also active but with relatively lower citation counts.</w:t>
      </w:r>
    </w:p>
    <w:p w14:paraId="03593827" w14:textId="77777777" w:rsidR="00EC4D81" w:rsidRPr="00657435" w:rsidRDefault="00EC4D81"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While Indonesia is the most prolific in publication output, especially in learning innovation and primary education, China demonstrates a more substantial academic footprint through citation impact. This contrast reflects a distinction between productivity and scholarly influence, with citations serving as stronger indicators of epistemic centrality. High citation levels in China, the United States, and Portugal suggest that their publications function not only as contributions but also as foundational references in shaping international discourse on curriculum reform, educational technology, and Society 5.0 learning frameworks.</w:t>
      </w:r>
    </w:p>
    <w:p w14:paraId="2700ABE6"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sz w:val="26"/>
          <w:szCs w:val="26"/>
        </w:rPr>
      </w:pPr>
    </w:p>
    <w:p w14:paraId="5FCF6394" w14:textId="33851686" w:rsidR="00C35AB7"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402BD020" wp14:editId="27D9392B">
            <wp:extent cx="5776903" cy="1928446"/>
            <wp:effectExtent l="19050" t="19050" r="1460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7729" cy="1932060"/>
                    </a:xfrm>
                    <a:prstGeom prst="rect">
                      <a:avLst/>
                    </a:prstGeom>
                    <a:noFill/>
                    <a:ln>
                      <a:solidFill>
                        <a:schemeClr val="tx1"/>
                      </a:solidFill>
                    </a:ln>
                  </pic:spPr>
                </pic:pic>
              </a:graphicData>
            </a:graphic>
          </wp:inline>
        </w:drawing>
      </w:r>
    </w:p>
    <w:p w14:paraId="322C1A7B"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5 most cited coountry</w:t>
      </w:r>
    </w:p>
    <w:p w14:paraId="6E62F1B5" w14:textId="15B89AF7" w:rsidR="00986C89" w:rsidRPr="00657435" w:rsidRDefault="00986C89"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lastRenderedPageBreak/>
        <w:t xml:space="preserve">The analysis in Figure 6 sheds light on the scientific works that have had the greatest impact on the advancement of educational research. The article by </w:t>
      </w:r>
      <w:r w:rsidR="00E22AF1"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{"citationID":"f9eiXIv3","properties":{"formattedCitation":"(Chang &amp; Hwang, 2018)","plainCitation":"(Chang &amp; Hwang, 2018)","dontUpdate":true,"noteIndex":0},"citationItems":[{"id":"5JXIUwDs/mCEwzOjv","uris":["http://zotero.org/users/local/f3vqrivG/items/D8ELTZ3H"],"itemData":{"id":843,"type":"article-journal","abstract":"In recent years, flipped learning has received increasing emphasis; it engages students in deriving basic knowledge through instructional videos before the class, and hence more time is available for practicing, applying knowledge, or student-teacher interaction in class. Many scholars have pointed out that, with such a learning approach, teachers can design more effective in-class activities by guiding students to have higher order thinking as well as interactions with peers and teachers. In the meantime, researchers have also indicated that employing proper educational technologies or learning strategies could further improve students’ performance. Therefore, in this study, an Augmented Reality (AR)-based learning guiding mode is proposed for developing a flipped learning system. To examine the effectiveness of the proposed approach, an experiment was conducted in a natural science learning activity of an elementary school using the developed system. The participants were four classes of 111 fifth graders. Two classes were assigned to the experimental group, while the others were the control group. Those learning in the experimental group used the AR-based flipped learning mode, while those in the control group learned with the conventional flipped learning mode. From the experimental results, it was found that the AR-based flipped learning guiding approach not only benefited the students in terms of promoting their project performance, but also improved their learning motivation, critical thinking tendency, and group self-efficacy.","container-title":"Computers &amp; Education","DOI":"10.1016/j.compedu.2018.06.007","ISSN":"0360-1315","journalAbbreviation":"Computers &amp; Education","page":"226-239","title":"Impacts of an augmented reality-based flipped learning guiding approach on students’ scientific project performance and perceptions","volume":"125","author":[{"family":"Chang","given":"Shao-Chen"},{"family":"Hwang","given":"Gwo-Jen"}],"issued":{"date-parts":[["2018",10,1]]}}}],"schema":"https://github.com/citation-style-language/schema/raw/master/csl-citation.json"} </w:instrText>
      </w:r>
      <w:r w:rsidR="00E22AF1" w:rsidRPr="00657435">
        <w:rPr>
          <w:rFonts w:ascii="Garamond" w:hAnsi="Garamond" w:cs="Times New Roman"/>
          <w:sz w:val="26"/>
          <w:szCs w:val="26"/>
        </w:rPr>
        <w:fldChar w:fldCharType="separate"/>
      </w:r>
      <w:r w:rsidR="00E22AF1" w:rsidRPr="00657435">
        <w:rPr>
          <w:rFonts w:ascii="Garamond" w:hAnsi="Garamond" w:cs="Times New Roman"/>
          <w:sz w:val="26"/>
          <w:szCs w:val="26"/>
        </w:rPr>
        <w:t>Chang &amp; Hwang. (2018)</w:t>
      </w:r>
      <w:r w:rsidR="00E22AF1" w:rsidRPr="00657435">
        <w:rPr>
          <w:rFonts w:ascii="Garamond" w:hAnsi="Garamond" w:cs="Times New Roman"/>
          <w:sz w:val="26"/>
          <w:szCs w:val="26"/>
        </w:rPr>
        <w:fldChar w:fldCharType="end"/>
      </w:r>
      <w:r w:rsidR="00C35AB7" w:rsidRPr="00657435">
        <w:rPr>
          <w:rFonts w:ascii="Garamond" w:hAnsi="Garamond" w:cs="Times New Roman"/>
          <w:sz w:val="26"/>
          <w:szCs w:val="26"/>
        </w:rPr>
        <w:t xml:space="preserve"> </w:t>
      </w:r>
      <w:r w:rsidRPr="00657435">
        <w:rPr>
          <w:rFonts w:ascii="Garamond" w:hAnsi="Garamond" w:cs="Times New Roman"/>
          <w:sz w:val="26"/>
          <w:szCs w:val="26"/>
        </w:rPr>
        <w:t>published in Computers &amp; Education, is noted as the most cited document worldwide, with 284 citations. This article serves as a primary reference in the examination of educational technology and digital learning methodologies.</w:t>
      </w:r>
    </w:p>
    <w:p w14:paraId="13B1B164" w14:textId="0726EE0E" w:rsidR="00986C89" w:rsidRPr="00657435" w:rsidRDefault="00986C89"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Additional works with elevated citation counts comprise the research by</w:t>
      </w:r>
      <w:r w:rsidR="00C35AB7" w:rsidRPr="00657435">
        <w:rPr>
          <w:rFonts w:ascii="Garamond" w:hAnsi="Garamond" w:cs="Times New Roman"/>
          <w:sz w:val="26"/>
          <w:szCs w:val="26"/>
        </w:rPr>
        <w:t xml:space="preserve"> </w:t>
      </w:r>
      <w:r w:rsidR="00361898"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{"citationID":"15BPor5b","properties":{"formattedCitation":"(Hussein et al., 2019)","plainCitation":"(Hussein et al., 2019)","dontUpdate":true,"noteIndex":0},"citationItems":[{"id":"5JXIUwDs/TRTItmEi","uris":["http://zotero.org/users/local/f3vqrivG/items/UHJDWR2H"],"itemData":{"id":845,"type":"article-journal","abstract":"For this paper, an educational computer game called Ecoship Endeavour was designed based on the guidelines of the inquiry, communication, mystery, decision making, challenge, and rewards (ICMDCR) framework to help facilitate critical thinking skills in students. To examine the effectiveness of the proposed digital game-based learning (DGBL) approach, a quasi-experiment was conducted in the units of ‘‘food relationship among living things’’, ‘‘life processes in plants’’, and ‘‘energy’’ of an elementary science course. A total of 127 ﬁfth grade students (females only) from four classes consented to participate in this learning activity. Two classes (N = 62) were assigned to the experimental group and guided by the developed game, and the other two classes (N = 65) were allocated to the control group and taught by the conventional method of science teaching. The experimental results revealed that Ecoship Endeavour signiﬁcantly improved the critical thinking skills of students; however, it was also revealed that the DGBL activity had no signiﬁcant effects on students’ learning motivation and self-efﬁcacy for science learning. Finally, more research is needed to examine the instructional beneﬁts of the proposed method with more inclusive research samples consisting of both male and female learners. The outcome of this research may help researchers, teachers, and practitioners in the educational sector to evaluate the effectiveness of serious games in facilitating students’ critical thinking.","container-title":"IEEE Access","DOI":"10.1109/ACCESS.2019.2929089","ISSN":"2169-3536","journalAbbreviation":"IEEE Access","language":"en","license":"https://creativecommons.org/licenses/by/4.0/legalcode","page":"96309-96318","source":"DOI.org (Crossref)","title":"A Digital Game-Based Learning Method to Improve Students’ Critical Thinking Skills in Elementary Science","volume":"7","author":[{"family":"Hussein","given":"Mahmood H."},{"family":"Ow","given":"Siew Hock"},{"family":"Cheong","given":"Loh Sau"},{"family":"Thong","given":"Meow-Keong"}],"issued":{"date-parts":[["2019"]]}}}],"schema":"https://github.com/citation-style-language/schema/raw/master/csl-citation.json"} </w:instrText>
      </w:r>
      <w:r w:rsidR="00361898" w:rsidRPr="00657435">
        <w:rPr>
          <w:rFonts w:ascii="Garamond" w:hAnsi="Garamond" w:cs="Times New Roman"/>
          <w:sz w:val="26"/>
          <w:szCs w:val="26"/>
        </w:rPr>
        <w:fldChar w:fldCharType="separate"/>
      </w:r>
      <w:r w:rsidR="00361898" w:rsidRPr="00657435">
        <w:rPr>
          <w:rFonts w:ascii="Garamond" w:hAnsi="Garamond" w:cs="Times New Roman"/>
          <w:sz w:val="26"/>
          <w:szCs w:val="26"/>
        </w:rPr>
        <w:t>Hussein et al. (2019)</w:t>
      </w:r>
      <w:r w:rsidR="00361898" w:rsidRPr="00657435">
        <w:rPr>
          <w:rFonts w:ascii="Garamond" w:hAnsi="Garamond" w:cs="Times New Roman"/>
          <w:sz w:val="26"/>
          <w:szCs w:val="26"/>
        </w:rPr>
        <w:fldChar w:fldCharType="end"/>
      </w:r>
      <w:r w:rsidR="00C35AB7" w:rsidRPr="00657435">
        <w:rPr>
          <w:rFonts w:ascii="Garamond" w:hAnsi="Garamond" w:cs="Times New Roman"/>
          <w:sz w:val="26"/>
          <w:szCs w:val="26"/>
        </w:rPr>
        <w:t xml:space="preserve"> </w:t>
      </w:r>
      <w:r w:rsidRPr="00657435">
        <w:rPr>
          <w:rFonts w:ascii="Garamond" w:hAnsi="Garamond" w:cs="Times New Roman"/>
          <w:sz w:val="26"/>
          <w:szCs w:val="26"/>
        </w:rPr>
        <w:t xml:space="preserve">in IEEE Access (122 citations), </w:t>
      </w:r>
      <w:r w:rsidR="00361898"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{"citationID":"03MMPnLZ","properties":{"formattedCitation":"(Vieira &amp; Tenreiro-Vieira, 2016)","plainCitation":"(Vieira &amp; Tenreiro-Vieira, 2016)","dontUpdate":true,"noteIndex":0},"citationItems":[{"id":"5JXIUwDs/yT7zOZcU","uris":["http://zotero.org/users/local/f3vqrivG/items/8CMB9L6E"],"itemData":{"id":846,"type":"article-journal","abstract":"Scientific literacy (SL) and critical thinking (CT) are key components of science education aiming to prepare students to think and to function as responsible citizens in a world increasingly affected by science and technology (S&amp;T). Therefore, students should be given opportunities in their science classes to be engaged in learning experiences that promote SL and CT, which may trigger the need to build and develop knowledge, attitudes/values, thinking abilities, and standards/criteria in an integrated way, resulting in their ability to know how to take responsible action in contexts and situations of personal and social relevance. This paper reports on a study to design, implement, and assess science learning experiences focused on CT toward SL goal. Results support the conclusion that the learning experiences developed and implemented in a grade 6 science classroom had a significant influence on the students’ CT and SL. Within this elementary school context, the theoretical framework used appears to be a relevant and practical aid for developing learning experiences that promote CT/SL and in supporting teaching practices that are more in line with the goals of critical scientific literacy.","container-title":"International Journal of Science and Mathematics Education","DOI":"10.1007/s10763-014-9605-2","ISSN":"1573-1774","issue":"4","journalAbbreviation":"International Journal of Science and Mathematics Education","page":"659-680","title":"Fostering Scientific Literacy and Critical Thinking in Elementary Science Education","volume":"14","author":[{"family":"Vieira","given":"Rui Marques"},{"family":"Tenreiro-Vieira","given":"Celina"}],"issued":{"date-parts":[["2016",5,1]]}}}],"schema":"https://github.com/citation-style-language/schema/raw/master/csl-citation.json"} </w:instrText>
      </w:r>
      <w:r w:rsidR="00361898" w:rsidRPr="00657435">
        <w:rPr>
          <w:rFonts w:ascii="Garamond" w:hAnsi="Garamond" w:cs="Times New Roman"/>
          <w:sz w:val="26"/>
          <w:szCs w:val="26"/>
        </w:rPr>
        <w:fldChar w:fldCharType="separate"/>
      </w:r>
      <w:r w:rsidR="00361898" w:rsidRPr="00657435">
        <w:rPr>
          <w:rFonts w:ascii="Garamond" w:hAnsi="Garamond" w:cs="Times New Roman"/>
          <w:sz w:val="26"/>
          <w:szCs w:val="26"/>
        </w:rPr>
        <w:t>Vieira &amp; Tenreiro-Vieira. (2016)</w:t>
      </w:r>
      <w:r w:rsidR="00361898" w:rsidRPr="00657435">
        <w:rPr>
          <w:rFonts w:ascii="Garamond" w:hAnsi="Garamond" w:cs="Times New Roman"/>
          <w:sz w:val="26"/>
          <w:szCs w:val="26"/>
        </w:rPr>
        <w:fldChar w:fldCharType="end"/>
      </w:r>
      <w:r w:rsidR="00361898" w:rsidRPr="00657435">
        <w:rPr>
          <w:rFonts w:ascii="Garamond" w:hAnsi="Garamond" w:cs="Times New Roman"/>
          <w:sz w:val="26"/>
          <w:szCs w:val="26"/>
        </w:rPr>
        <w:t xml:space="preserve"> </w:t>
      </w:r>
      <w:r w:rsidRPr="00657435">
        <w:rPr>
          <w:rFonts w:ascii="Garamond" w:hAnsi="Garamond" w:cs="Times New Roman"/>
          <w:sz w:val="26"/>
          <w:szCs w:val="26"/>
        </w:rPr>
        <w:t>in</w:t>
      </w:r>
      <w:r w:rsidR="00C35AB7" w:rsidRPr="00657435">
        <w:rPr>
          <w:rFonts w:ascii="Garamond" w:hAnsi="Garamond" w:cs="Times New Roman"/>
          <w:sz w:val="26"/>
          <w:szCs w:val="26"/>
        </w:rPr>
        <w:t xml:space="preserve"> Int. J. Sci. Math. Educ. (118 </w:t>
      </w:r>
      <w:r w:rsidRPr="00657435">
        <w:rPr>
          <w:rFonts w:ascii="Garamond" w:hAnsi="Garamond" w:cs="Times New Roman"/>
          <w:sz w:val="26"/>
          <w:szCs w:val="26"/>
        </w:rPr>
        <w:t>citations</w:t>
      </w:r>
      <w:r w:rsidR="00C35AB7" w:rsidRPr="00657435">
        <w:rPr>
          <w:rFonts w:ascii="Garamond" w:hAnsi="Garamond" w:cs="Times New Roman"/>
          <w:sz w:val="26"/>
          <w:szCs w:val="26"/>
        </w:rPr>
        <w:t xml:space="preserve">), </w:t>
      </w:r>
      <w:r w:rsidRPr="00657435">
        <w:rPr>
          <w:rFonts w:ascii="Garamond" w:hAnsi="Garamond" w:cs="Times New Roman"/>
          <w:sz w:val="26"/>
          <w:szCs w:val="26"/>
        </w:rPr>
        <w:t>and</w:t>
      </w:r>
      <w:r w:rsidR="00C35AB7" w:rsidRPr="00657435">
        <w:rPr>
          <w:rFonts w:ascii="Garamond" w:hAnsi="Garamond" w:cs="Times New Roman"/>
          <w:sz w:val="26"/>
          <w:szCs w:val="26"/>
        </w:rPr>
        <w:t xml:space="preserve"> </w:t>
      </w:r>
      <w:r w:rsidR="00361898"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{"citationID":"AR8sSoow","properties":{"formattedCitation":"(Yao et al., 2024)","plainCitation":"(Yao et al., 2024)","dontUpdate":true,"noteIndex":0},"citationItems":[{"id":"5JXIUwDs/HfosyJwL","uris":["http://zotero.org/users/local/f3vqrivG/items/GD7KCMI6"],"itemData":{"id":847,"type":"article-journal","abstract":"Industry 4.0 focuses on the realization of smart manufacturing based on cyber-physical systems (CPS). However, emerging Industry 5.0 and Society 5.0 reaches beyond CPS and covers the entire value chain of manufacturing, and faces economic, environmental, and social challenges. To meet such challenges, we regard Industry 5.0 as a socio-technical revolution based on the socio-cyber-physical system (SCPS), and propose a socio-technically enhanced wisdom manufacturing architecture and framework beyond CPS-based Industry 4.0/smart manufacturing with especially concerning transition enabling technologies such as artificial intelligence, social Internet of Things (SIoT), big data, machine learning, edge computing, social computing, 3D printing, blockchains, digital twins, and cobots. Finally we address the roadmap to blockchainized value-added SCPS-based Industrial Metaverse for Industry/Society 5.0, which will achieve high utilization of resources and provide products and services to satisfy experience-driven individual needs via metamanufacturing cloud services towards smart, resilient, sustainable, and human-centric solutions.","container-title":"Journal of Intelligent Manufacturing","DOI":"10.1007/s10845-022-02027-7","ISSN":"1572-8145","issue":"1","journalAbbreviation":"Journal of Intelligent Manufacturing","page":"235-255","title":"Enhancing wisdom manufacturing as industrial metaverse for industry and society 5.0","volume":"35","author":[{"family":"Yao","given":"Xifan"},{"family":"Ma","given":"Nanfeng"},{"family":"Zhang","given":"Jianming"},{"family":"Wang","given":"Kesai"},{"family":"Yang","given":"Erfu"},{"family":"Faccio","given":"Maurizio"}],"issued":{"date-parts":[["2024",1,1]]}}}],"schema":"https://github.com/citation-style-language/schema/raw/master/csl-citation.json"} </w:instrText>
      </w:r>
      <w:r w:rsidR="00361898" w:rsidRPr="00657435">
        <w:rPr>
          <w:rFonts w:ascii="Garamond" w:hAnsi="Garamond" w:cs="Times New Roman"/>
          <w:sz w:val="26"/>
          <w:szCs w:val="26"/>
        </w:rPr>
        <w:fldChar w:fldCharType="separate"/>
      </w:r>
      <w:r w:rsidR="00361898" w:rsidRPr="00657435">
        <w:rPr>
          <w:rFonts w:ascii="Garamond" w:hAnsi="Garamond" w:cs="Times New Roman"/>
          <w:sz w:val="26"/>
          <w:szCs w:val="26"/>
        </w:rPr>
        <w:t>Yao et al. (2024)</w:t>
      </w:r>
      <w:r w:rsidR="00361898" w:rsidRPr="00657435">
        <w:rPr>
          <w:rFonts w:ascii="Garamond" w:hAnsi="Garamond" w:cs="Times New Roman"/>
          <w:sz w:val="26"/>
          <w:szCs w:val="26"/>
        </w:rPr>
        <w:fldChar w:fldCharType="end"/>
      </w:r>
      <w:r w:rsidR="00C35AB7" w:rsidRPr="00657435">
        <w:rPr>
          <w:rFonts w:ascii="Garamond" w:hAnsi="Garamond" w:cs="Times New Roman"/>
          <w:sz w:val="26"/>
          <w:szCs w:val="26"/>
        </w:rPr>
        <w:t xml:space="preserve"> </w:t>
      </w:r>
      <w:r w:rsidRPr="00657435">
        <w:rPr>
          <w:rFonts w:ascii="Garamond" w:hAnsi="Garamond" w:cs="Times New Roman"/>
          <w:sz w:val="26"/>
          <w:szCs w:val="26"/>
        </w:rPr>
        <w:t>in</w:t>
      </w:r>
      <w:r w:rsidR="00C35AB7" w:rsidRPr="00657435">
        <w:rPr>
          <w:rFonts w:ascii="Garamond" w:hAnsi="Garamond" w:cs="Times New Roman"/>
          <w:sz w:val="26"/>
          <w:szCs w:val="26"/>
        </w:rPr>
        <w:t xml:space="preserve"> J. Intell. Manuf. (90 </w:t>
      </w:r>
      <w:r w:rsidRPr="00657435">
        <w:rPr>
          <w:rFonts w:ascii="Garamond" w:hAnsi="Garamond" w:cs="Times New Roman"/>
          <w:sz w:val="26"/>
          <w:szCs w:val="26"/>
        </w:rPr>
        <w:t>citations</w:t>
      </w:r>
      <w:r w:rsidR="00C35AB7" w:rsidRPr="00657435">
        <w:rPr>
          <w:rFonts w:ascii="Garamond" w:hAnsi="Garamond" w:cs="Times New Roman"/>
          <w:sz w:val="26"/>
          <w:szCs w:val="26"/>
        </w:rPr>
        <w:t xml:space="preserve">). </w:t>
      </w:r>
      <w:r w:rsidRPr="00657435">
        <w:rPr>
          <w:rFonts w:ascii="Garamond" w:hAnsi="Garamond" w:cs="Times New Roman"/>
          <w:sz w:val="26"/>
          <w:szCs w:val="26"/>
        </w:rPr>
        <w:t xml:space="preserve">Furthermore, the research conducted by </w:t>
      </w:r>
      <w:r w:rsidR="00361898"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{"citationID":"NLot3rwK","properties":{"formattedCitation":"(Syawaludin et al., 2019)","plainCitation":"(Syawaludin et al., 2019)","dontUpdate":true,"noteIndex":0},"citationItems":[{"id":816,"uris":["http://zotero.org/users/local/rGxUvxsB/items/D8VE3HW6"],"itemData":{"id":816,"type":"article-journal","abstract":"This study aimed to describe the development of augmented reality-based interactive multimedia to improve the critical thinking skills of elementary school teacher education students in learning earth structure and fisheries material science. This type of research was research and development by Sukmadinata consisting of preliminary studies, model development, and model testing. The research subjects were elementary school teacher education students at Sebelas Maret University, Indonesia. The technique of collecting data used tests, questionnaires, and observations. The collected data was then analyzed qualitatively and quantitatively. Qualitative data analysis used the interactive models of Miles and Huberman and quantitative data analysis using a paired sample t-test. The results of the study show that the development of media products determines indicators of learning, programming, display, and curriculum. The main field test obtained ρvalue = 0.002&lt; 0.05, it can be decided that H0 rejected. Students think critically using augmented reality-based interactive multimedia better than before using it. At present, it is obtained interactive multimedia based on augmented reality that is feasible to use in accordance with the views of experts and users.","container-title":"International Journal of Instruction","DOI":"10.29333/iji.2019.12421a","ISSN":"1694609X, 13081470","issue":"4","journalAbbreviation":"INT J INSTRUCTION","language":"en","note":"number: 4","page":"331-344","source":"DOI.org (Crossref)","title":"Development of Augmented Reality-Based Interactive Multimedia to Improve Critical Thinking Skills in Science Learning","volume":"12","author":[{"family":"Syawaludin","given":"Ahmad"},{"family":"Gunarhadi","given":"Gunarhadi"},{"literal":"Prof., Teacher Training and Education Faculty, Universitas Sebelas Maret, Indonesia, gunarhadi@fkip.uns.ac.id"},{"family":"Rintayati","given":"Peduk"},{"literal":"Dr., Teacher Training and Education Faculty, Universitas Sebelas Maret, Indonesia, pedukrintayati@staff.uns.ac.id"}],"issued":{"date-parts":[["2019",10,1]]}}}],"schema":"https://github.com/citation-style-language/schema/raw/master/csl-citation.json"} </w:instrText>
      </w:r>
      <w:r w:rsidR="00361898" w:rsidRPr="00657435">
        <w:rPr>
          <w:rFonts w:ascii="Garamond" w:hAnsi="Garamond" w:cs="Times New Roman"/>
          <w:sz w:val="26"/>
          <w:szCs w:val="26"/>
        </w:rPr>
        <w:fldChar w:fldCharType="separate"/>
      </w:r>
      <w:r w:rsidR="00D058C8" w:rsidRPr="00657435">
        <w:rPr>
          <w:rFonts w:ascii="Garamond" w:hAnsi="Garamond" w:cs="Times New Roman"/>
          <w:sz w:val="26"/>
          <w:szCs w:val="26"/>
        </w:rPr>
        <w:t>Syawaludin et al. (2019)</w:t>
      </w:r>
      <w:r w:rsidR="00361898" w:rsidRPr="00657435">
        <w:rPr>
          <w:rFonts w:ascii="Garamond" w:hAnsi="Garamond" w:cs="Times New Roman"/>
          <w:sz w:val="26"/>
          <w:szCs w:val="26"/>
        </w:rPr>
        <w:fldChar w:fldCharType="end"/>
      </w:r>
      <w:r w:rsidR="00C35AB7" w:rsidRPr="00657435">
        <w:rPr>
          <w:rFonts w:ascii="Garamond" w:hAnsi="Garamond" w:cs="Times New Roman"/>
          <w:sz w:val="26"/>
          <w:szCs w:val="26"/>
        </w:rPr>
        <w:t xml:space="preserve">, </w:t>
      </w:r>
      <w:r w:rsidRPr="00657435">
        <w:rPr>
          <w:rFonts w:ascii="Garamond" w:hAnsi="Garamond" w:cs="Times New Roman"/>
          <w:sz w:val="26"/>
          <w:szCs w:val="26"/>
        </w:rPr>
        <w:t>significantly contributes to the advancement of new learning models, technical literacy, and critical thinking abilities in the digital age.</w:t>
      </w:r>
    </w:p>
    <w:p w14:paraId="1B0A3BF8" w14:textId="73A4C8A1" w:rsidR="00986C89" w:rsidRPr="00657435" w:rsidRDefault="00986C89"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These extensively referenced studies primarily address strategic concerns in 21st-century education, including the incorporation of technology in learning, the cultivation of higher-order thinking skills, the customisation of learning experiences, and the challenges and prospects presented by global digital transformation in education. These publications collectively establish a substantial theoretical and methodological foundation in current discussions regarding education reform, especially at the primary and secondary levels. Elevated citation counts suggest that these articles frequently serve as principal sources in policy formulation, curriculum creation, and innovative instructional strategies.</w:t>
      </w:r>
    </w:p>
    <w:p w14:paraId="3C03B7B2" w14:textId="72AB60A6" w:rsidR="00C35AB7" w:rsidRPr="00657435" w:rsidRDefault="00C35AB7" w:rsidP="00657435">
      <w:pPr>
        <w:tabs>
          <w:tab w:val="left" w:pos="142"/>
          <w:tab w:val="left" w:pos="284"/>
          <w:tab w:val="left" w:pos="426"/>
        </w:tabs>
        <w:spacing w:after="0" w:line="240" w:lineRule="auto"/>
        <w:jc w:val="both"/>
        <w:rPr>
          <w:rFonts w:ascii="Garamond" w:hAnsi="Garamond" w:cs="Times New Roman"/>
          <w:sz w:val="26"/>
          <w:szCs w:val="26"/>
        </w:rPr>
      </w:pPr>
    </w:p>
    <w:p w14:paraId="160DD456" w14:textId="4D239575" w:rsidR="007F4360"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66279CEA" wp14:editId="7A592967">
            <wp:extent cx="5777455" cy="2880000"/>
            <wp:effectExtent l="19050" t="19050" r="1397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7455" cy="2880000"/>
                    </a:xfrm>
                    <a:prstGeom prst="rect">
                      <a:avLst/>
                    </a:prstGeom>
                    <a:noFill/>
                    <a:ln>
                      <a:solidFill>
                        <a:schemeClr val="tx1"/>
                      </a:solidFill>
                    </a:ln>
                  </pic:spPr>
                </pic:pic>
              </a:graphicData>
            </a:graphic>
          </wp:inline>
        </w:drawing>
      </w:r>
    </w:p>
    <w:p w14:paraId="3E652C84"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6 most global cite document</w:t>
      </w:r>
    </w:p>
    <w:p w14:paraId="68A90849" w14:textId="586750C5" w:rsidR="00986C89" w:rsidRPr="00657435" w:rsidRDefault="00EC4D81"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Figure 7 illustrates the keyword co-occurrence network, mapping the conceptual structure of digital education research. The central term "students" confirms learners as the primary focus, supported by frequent co-occurrences with e-learning, learning systems, and critical thinking. The red cluster </w:t>
      </w:r>
      <w:proofErr w:type="gramStart"/>
      <w:r w:rsidRPr="00657435">
        <w:rPr>
          <w:rFonts w:ascii="Garamond" w:hAnsi="Garamond" w:cs="Times New Roman"/>
          <w:sz w:val="26"/>
          <w:szCs w:val="26"/>
        </w:rPr>
        <w:t>highlights</w:t>
      </w:r>
      <w:proofErr w:type="gramEnd"/>
      <w:r w:rsidRPr="00657435">
        <w:rPr>
          <w:rFonts w:ascii="Garamond" w:hAnsi="Garamond" w:cs="Times New Roman"/>
          <w:sz w:val="26"/>
          <w:szCs w:val="26"/>
        </w:rPr>
        <w:t xml:space="preserve"> themes of online learning and adaptive technologies, while the orange cluster links educational research with cognitive psychology, including learning </w:t>
      </w:r>
      <w:proofErr w:type="spellStart"/>
      <w:r w:rsidRPr="00657435">
        <w:rPr>
          <w:rFonts w:ascii="Garamond" w:hAnsi="Garamond" w:cs="Times New Roman"/>
          <w:sz w:val="26"/>
          <w:szCs w:val="26"/>
        </w:rPr>
        <w:t>behavior</w:t>
      </w:r>
      <w:proofErr w:type="spellEnd"/>
      <w:r w:rsidRPr="00657435">
        <w:rPr>
          <w:rFonts w:ascii="Garamond" w:hAnsi="Garamond" w:cs="Times New Roman"/>
          <w:sz w:val="26"/>
          <w:szCs w:val="26"/>
        </w:rPr>
        <w:t xml:space="preserve"> and individual traits. The blue cluster connects engineering education with instructional innovation, and the green cluster points to the rise of AI, machine learning, and deep learning in personalization. The purple cluster, containing COVID-19 and augmented reality, reflects pandemic-driven shifts in digital pedagogy. Overall, the network reveals a multidisciplinary convergence of psychological theory, technology integration, and pedagogical transformation in the context of Society 5.0.</w:t>
      </w:r>
    </w:p>
    <w:p w14:paraId="4D4F3670"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sz w:val="26"/>
          <w:szCs w:val="26"/>
        </w:rPr>
      </w:pPr>
    </w:p>
    <w:p w14:paraId="72E83F2D" w14:textId="77370036" w:rsidR="00C35AB7"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lastRenderedPageBreak/>
        <w:drawing>
          <wp:inline distT="0" distB="0" distL="0" distR="0" wp14:anchorId="54CD1EE8" wp14:editId="1E92AD97">
            <wp:extent cx="5643196" cy="2879725"/>
            <wp:effectExtent l="19050" t="19050" r="1524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7490" cy="2881916"/>
                    </a:xfrm>
                    <a:prstGeom prst="rect">
                      <a:avLst/>
                    </a:prstGeom>
                    <a:noFill/>
                    <a:ln>
                      <a:solidFill>
                        <a:schemeClr val="tx1"/>
                      </a:solidFill>
                    </a:ln>
                  </pic:spPr>
                </pic:pic>
              </a:graphicData>
            </a:graphic>
          </wp:inline>
        </w:drawing>
      </w:r>
    </w:p>
    <w:p w14:paraId="52CC8F0B"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7 Co occurance network</w:t>
      </w:r>
    </w:p>
    <w:p w14:paraId="646E9E09" w14:textId="6388040F" w:rsidR="00C35AB7" w:rsidRPr="00657435" w:rsidRDefault="00EC4D81"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Figure 8 categorizes the evolution and emerging trends in technology-based education research based on centrality and density. In the lower-right quadrant, the core themes (e.g., learning systems, Society 5.0, and artificial intelligence) appear as foundational topics that underpin the digital transformation of education. The upper-right quadrant presents the motor themes, including students, e-learning, and engineering education, indicating well-developed and influential areas driving innovation in instructional practice. The lower-left quadrant contains the emerging or declining themes (e.g., decision trees), which may reflect initial experimentation in machine learning applications. Meanwhile, the niche themes in the upper-left quadrant (e.g., human, learning, and learner cognition) suggest specialized methodological inquiries and domain-specific investigations in cognitive and psychological aspects of education.</w:t>
      </w:r>
    </w:p>
    <w:p w14:paraId="7410AC75" w14:textId="77777777" w:rsidR="00316835" w:rsidRPr="00657435" w:rsidRDefault="00316835" w:rsidP="00657435">
      <w:pPr>
        <w:tabs>
          <w:tab w:val="left" w:pos="142"/>
          <w:tab w:val="left" w:pos="284"/>
          <w:tab w:val="left" w:pos="426"/>
        </w:tabs>
        <w:spacing w:after="0" w:line="240" w:lineRule="auto"/>
        <w:jc w:val="both"/>
        <w:rPr>
          <w:rFonts w:ascii="Garamond" w:hAnsi="Garamond" w:cs="Times New Roman"/>
          <w:sz w:val="26"/>
          <w:szCs w:val="26"/>
        </w:rPr>
      </w:pPr>
    </w:p>
    <w:p w14:paraId="17FDC719" w14:textId="1287BFDE" w:rsidR="007F4360"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349B2691" wp14:editId="62AA7463">
            <wp:extent cx="5748704" cy="2879623"/>
            <wp:effectExtent l="19050" t="19050" r="234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043" cy="2884802"/>
                    </a:xfrm>
                    <a:prstGeom prst="rect">
                      <a:avLst/>
                    </a:prstGeom>
                    <a:noFill/>
                    <a:ln>
                      <a:solidFill>
                        <a:schemeClr val="tx1"/>
                      </a:solidFill>
                    </a:ln>
                  </pic:spPr>
                </pic:pic>
              </a:graphicData>
            </a:graphic>
          </wp:inline>
        </w:drawing>
      </w:r>
    </w:p>
    <w:p w14:paraId="74178426"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Fig.8 thematic maps</w:t>
      </w:r>
    </w:p>
    <w:p w14:paraId="63FF344C"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Figure 9 visualizes emerging trends in digital education research based on authors’ keywords, filtered by a minimum occurrence of two and limited to five phrases per year. The mapping captures a shift in scholarly focus from conventional pedagogical themes to contemporary issues aligned with technological advancements in education.</w:t>
      </w:r>
    </w:p>
    <w:p w14:paraId="5086305C"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lastRenderedPageBreak/>
        <w:t>In the early phase (2020–2021), critical thinking skills dominated, highlighting the urgency of developing higher-order cognitive abilities as a cornerstone of 21st-century education. From 2022 onward, themes such as scientific education, Society 5.0, and critical thinking gained prominence, indicating an instructional paradigm oriented toward contextual, reflective, and technology-integrated learning.</w:t>
      </w:r>
    </w:p>
    <w:p w14:paraId="46FA10B7"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By 2023–2024, artificial intelligence and machine learning emerged as dominant topics, </w:t>
      </w:r>
      <w:proofErr w:type="spellStart"/>
      <w:r w:rsidRPr="00657435">
        <w:rPr>
          <w:rFonts w:ascii="Garamond" w:hAnsi="Garamond" w:cs="Times New Roman"/>
          <w:sz w:val="26"/>
          <w:szCs w:val="26"/>
        </w:rPr>
        <w:t>signaling</w:t>
      </w:r>
      <w:proofErr w:type="spellEnd"/>
      <w:r w:rsidRPr="00657435">
        <w:rPr>
          <w:rFonts w:ascii="Garamond" w:hAnsi="Garamond" w:cs="Times New Roman"/>
          <w:sz w:val="26"/>
          <w:szCs w:val="26"/>
        </w:rPr>
        <w:t xml:space="preserve"> a growing interest in AI-driven instructional design, adaptive assessment, and intelligent learning environments. Augmented reality also began to surface, particularly in studies exploring simulation-based learning and immersive educational experiences.</w:t>
      </w:r>
    </w:p>
    <w:p w14:paraId="0260076A"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The sustained presence of critical thinking across multiple years reflects its foundational role in digital pedagogy, while the emergence of Society 5.0 and AI illustrates a systemic transformation toward technology-enhanced, student-empowered learning models. This trend map underscores a future trajectory in digital education characterized by personalization, interactivity, and cognitive empowerment.</w:t>
      </w:r>
    </w:p>
    <w:p w14:paraId="476FBAAE"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sz w:val="26"/>
          <w:szCs w:val="26"/>
        </w:rPr>
      </w:pPr>
    </w:p>
    <w:p w14:paraId="35666468" w14:textId="6FD794BD" w:rsidR="007F4360"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1FC3A486" wp14:editId="177CF730">
            <wp:extent cx="5777455" cy="2880000"/>
            <wp:effectExtent l="19050" t="19050" r="1397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7455" cy="2880000"/>
                    </a:xfrm>
                    <a:prstGeom prst="rect">
                      <a:avLst/>
                    </a:prstGeom>
                    <a:noFill/>
                    <a:ln>
                      <a:solidFill>
                        <a:schemeClr val="tx1"/>
                      </a:solidFill>
                    </a:ln>
                  </pic:spPr>
                </pic:pic>
              </a:graphicData>
            </a:graphic>
          </wp:inline>
        </w:drawing>
      </w:r>
    </w:p>
    <w:p w14:paraId="1A37D2B4" w14:textId="3E1EC437"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9 trend topic</w:t>
      </w:r>
    </w:p>
    <w:p w14:paraId="634579EB" w14:textId="77777777" w:rsidR="007E3298" w:rsidRPr="00657435" w:rsidRDefault="007E3298"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Figure 10 presents a three-field plot that visualizes the tripartite relationship among authors' countries of origin (AU_CO), individual researchers (AU), and primary descriptors or keywords (DE) of their publications. This analytical visualization outlines the structural dynamics of collaboration in digital education research. Indonesia emerges as the most prolific contributor, distinguished by both the volume of publications and the prominence of active scholars. Authors such as </w:t>
      </w:r>
      <w:proofErr w:type="spellStart"/>
      <w:r w:rsidRPr="00657435">
        <w:rPr>
          <w:rFonts w:ascii="Garamond" w:hAnsi="Garamond" w:cs="Times New Roman"/>
          <w:sz w:val="26"/>
          <w:szCs w:val="26"/>
        </w:rPr>
        <w:t>Wilujeng</w:t>
      </w:r>
      <w:proofErr w:type="spellEnd"/>
      <w:r w:rsidRPr="00657435">
        <w:rPr>
          <w:rFonts w:ascii="Garamond" w:hAnsi="Garamond" w:cs="Times New Roman"/>
          <w:sz w:val="26"/>
          <w:szCs w:val="26"/>
        </w:rPr>
        <w:t xml:space="preserve"> I, </w:t>
      </w:r>
      <w:proofErr w:type="spellStart"/>
      <w:r w:rsidRPr="00657435">
        <w:rPr>
          <w:rFonts w:ascii="Garamond" w:hAnsi="Garamond" w:cs="Times New Roman"/>
          <w:sz w:val="26"/>
          <w:szCs w:val="26"/>
        </w:rPr>
        <w:t>Saputro</w:t>
      </w:r>
      <w:proofErr w:type="spellEnd"/>
      <w:r w:rsidRPr="00657435">
        <w:rPr>
          <w:rFonts w:ascii="Garamond" w:hAnsi="Garamond" w:cs="Times New Roman"/>
          <w:sz w:val="26"/>
          <w:szCs w:val="26"/>
        </w:rPr>
        <w:t xml:space="preserve"> S, Arifin S, and </w:t>
      </w:r>
      <w:proofErr w:type="spellStart"/>
      <w:r w:rsidRPr="00657435">
        <w:rPr>
          <w:rFonts w:ascii="Garamond" w:hAnsi="Garamond" w:cs="Times New Roman"/>
          <w:sz w:val="26"/>
          <w:szCs w:val="26"/>
        </w:rPr>
        <w:t>Jatmiko</w:t>
      </w:r>
      <w:proofErr w:type="spellEnd"/>
      <w:r w:rsidRPr="00657435">
        <w:rPr>
          <w:rFonts w:ascii="Garamond" w:hAnsi="Garamond" w:cs="Times New Roman"/>
          <w:sz w:val="26"/>
          <w:szCs w:val="26"/>
        </w:rPr>
        <w:t xml:space="preserve"> B consistently engage with core themes including critical thinking, science education, and problem-based learning. These findings underscore Indonesia’s strategic academic positioning in promoting higher-order thinking skills and the design of learner-</w:t>
      </w:r>
      <w:proofErr w:type="spellStart"/>
      <w:r w:rsidRPr="00657435">
        <w:rPr>
          <w:rFonts w:ascii="Garamond" w:hAnsi="Garamond" w:cs="Times New Roman"/>
          <w:sz w:val="26"/>
          <w:szCs w:val="26"/>
        </w:rPr>
        <w:t>centered</w:t>
      </w:r>
      <w:proofErr w:type="spellEnd"/>
      <w:r w:rsidRPr="00657435">
        <w:rPr>
          <w:rFonts w:ascii="Garamond" w:hAnsi="Garamond" w:cs="Times New Roman"/>
          <w:sz w:val="26"/>
          <w:szCs w:val="26"/>
        </w:rPr>
        <w:t xml:space="preserve"> pedagogical models within elementary educational settings.</w:t>
      </w:r>
    </w:p>
    <w:p w14:paraId="7B632920" w14:textId="77777777" w:rsidR="007E3298" w:rsidRPr="00657435" w:rsidRDefault="007E3298"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In addition to Indonesia, Malaysia, China, India, and Poland also demonstrate substantial scholarly involvement, with researchers like Thong M-K, Ow SH, Maqbool S, and Rosak-</w:t>
      </w:r>
      <w:proofErr w:type="spellStart"/>
      <w:r w:rsidRPr="00657435">
        <w:rPr>
          <w:rFonts w:ascii="Garamond" w:hAnsi="Garamond" w:cs="Times New Roman"/>
          <w:sz w:val="26"/>
          <w:szCs w:val="26"/>
        </w:rPr>
        <w:t>Szyrocka</w:t>
      </w:r>
      <w:proofErr w:type="spellEnd"/>
      <w:r w:rsidRPr="00657435">
        <w:rPr>
          <w:rFonts w:ascii="Garamond" w:hAnsi="Garamond" w:cs="Times New Roman"/>
          <w:sz w:val="26"/>
          <w:szCs w:val="26"/>
        </w:rPr>
        <w:t xml:space="preserve"> J exploring topics such as Society 5.0, augmented reality, and technology-integrated primary education. The recurrence of descriptors such as science learning and creative thinking across authors and countries reflects a global trend toward interdisciplinary, innovation-driven educational practices. This map not only delineates the thematic and geographic distribution of contributors but also illustrates the emergence of a globally networked research ecosystem. Such an ecosystem facilitates the convergence of </w:t>
      </w:r>
      <w:r w:rsidRPr="00657435">
        <w:rPr>
          <w:rFonts w:ascii="Garamond" w:hAnsi="Garamond" w:cs="Times New Roman"/>
          <w:sz w:val="26"/>
          <w:szCs w:val="26"/>
        </w:rPr>
        <w:lastRenderedPageBreak/>
        <w:t>artificial intelligence, immersive technologies, and critical pedagogy to advance transformative digital learning in primary education.</w:t>
      </w:r>
    </w:p>
    <w:p w14:paraId="081B1D20" w14:textId="67F8183E" w:rsidR="00986C89" w:rsidRPr="00657435" w:rsidRDefault="00986C89"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w:t>
      </w:r>
    </w:p>
    <w:p w14:paraId="4C29E850" w14:textId="4EF66A0C" w:rsidR="007F4360"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30252CFA" wp14:editId="3F0D348D">
            <wp:extent cx="5713535" cy="2879702"/>
            <wp:effectExtent l="19050" t="19050" r="2095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9935" cy="2887968"/>
                    </a:xfrm>
                    <a:prstGeom prst="rect">
                      <a:avLst/>
                    </a:prstGeom>
                    <a:noFill/>
                    <a:ln>
                      <a:solidFill>
                        <a:schemeClr val="tx1"/>
                      </a:solidFill>
                    </a:ln>
                  </pic:spPr>
                </pic:pic>
              </a:graphicData>
            </a:graphic>
          </wp:inline>
        </w:drawing>
      </w:r>
    </w:p>
    <w:p w14:paraId="73C43F05" w14:textId="77777777" w:rsidR="00C35AB7" w:rsidRPr="00657435" w:rsidRDefault="00C35AB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10 three filedplot</w:t>
      </w:r>
    </w:p>
    <w:p w14:paraId="2BAE6B03" w14:textId="77777777" w:rsidR="00986C89" w:rsidRPr="00657435" w:rsidRDefault="00986C89" w:rsidP="00657435">
      <w:pPr>
        <w:tabs>
          <w:tab w:val="left" w:pos="142"/>
          <w:tab w:val="left" w:pos="284"/>
          <w:tab w:val="left" w:pos="426"/>
        </w:tabs>
        <w:spacing w:after="0" w:line="240" w:lineRule="auto"/>
        <w:jc w:val="both"/>
        <w:rPr>
          <w:rFonts w:ascii="Garamond" w:eastAsiaTheme="majorEastAsia" w:hAnsi="Garamond" w:cs="Times New Roman"/>
          <w:kern w:val="0"/>
          <w:sz w:val="26"/>
          <w:szCs w:val="26"/>
          <w:lang w:eastAsia="en-ID"/>
          <w14:ligatures w14:val="none"/>
        </w:rPr>
      </w:pPr>
      <w:r w:rsidRPr="00657435">
        <w:rPr>
          <w:rFonts w:ascii="Garamond" w:eastAsiaTheme="majorEastAsia" w:hAnsi="Garamond" w:cs="Times New Roman"/>
          <w:kern w:val="0"/>
          <w:sz w:val="26"/>
          <w:szCs w:val="26"/>
          <w:lang w:eastAsia="en-ID"/>
          <w14:ligatures w14:val="none"/>
        </w:rPr>
        <w:t>Q2: What are the primary educational methodologies and learning frameworks utilised in science education and the cultivation of critical thinking in elementary education throughout the Society 5.0 era?</w:t>
      </w:r>
    </w:p>
    <w:p w14:paraId="0A08EA20" w14:textId="77777777" w:rsidR="00AA6EAD" w:rsidRPr="00657435" w:rsidRDefault="00986C89"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A total of 29 antecedents were discovered via a systematic review (Figure 11), </w:t>
      </w:r>
      <w:r w:rsidR="00AA6EAD" w:rsidRPr="00657435">
        <w:rPr>
          <w:rFonts w:ascii="Garamond" w:hAnsi="Garamond" w:cs="Times New Roman"/>
          <w:sz w:val="26"/>
          <w:szCs w:val="26"/>
        </w:rPr>
        <w:t>categorized into five key domains: student characteristics, learning approaches, school system readiness, pedagogical strategies, and sociocultural factors. Student-related factors such as self-regulation, cognitive understanding, and social competence form the foundational pillars of learning readiness and critical thinking development. Learning approaches include models such as Problem-Based Learning (PBL), STEM integration, Higher Order Thinking Skills (HOTS)-oriented activities, and contextual instructional designs that promote exploration and reflection.</w:t>
      </w:r>
    </w:p>
    <w:p w14:paraId="130A8261"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At the institutional level, key antecedents include teacher support, alignment between thematic curricula and STEM methodologies, and digital infrastructure and climate preparedness. Pedagogical strategies such as reflective facilitation, metacognitive techniques, and scientific applications illustrate the dynamism and responsiveness of teaching practices. Meanwhile, broader societal factors such as 21st-century skill demands, digital transformation challenges, and the absence of technological support systems underscore the importance of macro-level preparedness in sustaining educational reform.</w:t>
      </w:r>
    </w:p>
    <w:p w14:paraId="153871EC"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The convergence of these five categories indicates that the cultivation of critical thinking and student engagement is shaped by the complex interplay of psychological, instructional, and systemic elements.</w:t>
      </w:r>
    </w:p>
    <w:p w14:paraId="3177246E"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Figure 12 identifies 17 consequences distributed across four main domains: individual outcomes, learning </w:t>
      </w:r>
      <w:proofErr w:type="spellStart"/>
      <w:r w:rsidRPr="00657435">
        <w:rPr>
          <w:rFonts w:ascii="Garamond" w:hAnsi="Garamond" w:cs="Times New Roman"/>
          <w:sz w:val="26"/>
          <w:szCs w:val="26"/>
        </w:rPr>
        <w:t>behaviors</w:t>
      </w:r>
      <w:proofErr w:type="spellEnd"/>
      <w:r w:rsidRPr="00657435">
        <w:rPr>
          <w:rFonts w:ascii="Garamond" w:hAnsi="Garamond" w:cs="Times New Roman"/>
          <w:sz w:val="26"/>
          <w:szCs w:val="26"/>
        </w:rPr>
        <w:t xml:space="preserve">, academic performance, and systemic implications. At the individual level, improved self-efficacy, learning motivation, and the internalization of scientific values emerge as key results. In terms of </w:t>
      </w:r>
      <w:proofErr w:type="spellStart"/>
      <w:r w:rsidRPr="00657435">
        <w:rPr>
          <w:rFonts w:ascii="Garamond" w:hAnsi="Garamond" w:cs="Times New Roman"/>
          <w:sz w:val="26"/>
          <w:szCs w:val="26"/>
        </w:rPr>
        <w:t>behavior</w:t>
      </w:r>
      <w:proofErr w:type="spellEnd"/>
      <w:r w:rsidRPr="00657435">
        <w:rPr>
          <w:rFonts w:ascii="Garamond" w:hAnsi="Garamond" w:cs="Times New Roman"/>
          <w:sz w:val="26"/>
          <w:szCs w:val="26"/>
        </w:rPr>
        <w:t>, indicators such as active participation in discussions, scientific collaboration, and autonomous use of digital tools reflect both cognitive understanding and the ability to communicate scientific reasoning effectively.</w:t>
      </w:r>
    </w:p>
    <w:p w14:paraId="42BD648E"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Learning performance is demonstrated by mastery of HOTS, efficient use of media, and alignment between learning outcomes and local cultural relevance. At the systemic level, </w:t>
      </w:r>
      <w:r w:rsidRPr="00657435">
        <w:rPr>
          <w:rFonts w:ascii="Garamond" w:hAnsi="Garamond" w:cs="Times New Roman"/>
          <w:sz w:val="26"/>
          <w:szCs w:val="26"/>
        </w:rPr>
        <w:lastRenderedPageBreak/>
        <w:t>consequences include the advancement of instructional models, the strengthening of educational research, and institutional readiness for the demands of Society 5.0.</w:t>
      </w:r>
    </w:p>
    <w:p w14:paraId="76C77832" w14:textId="77777777"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Collectively, these consequences confirm that the integration of technology-driven learning and critical thinking exerts multidimensional impacts spanning cognitive, affective, </w:t>
      </w:r>
      <w:proofErr w:type="spellStart"/>
      <w:r w:rsidRPr="00657435">
        <w:rPr>
          <w:rFonts w:ascii="Garamond" w:hAnsi="Garamond" w:cs="Times New Roman"/>
          <w:sz w:val="26"/>
          <w:szCs w:val="26"/>
        </w:rPr>
        <w:t>behavioral</w:t>
      </w:r>
      <w:proofErr w:type="spellEnd"/>
      <w:r w:rsidRPr="00657435">
        <w:rPr>
          <w:rFonts w:ascii="Garamond" w:hAnsi="Garamond" w:cs="Times New Roman"/>
          <w:sz w:val="26"/>
          <w:szCs w:val="26"/>
        </w:rPr>
        <w:t>, and institutional domains. This emphasizes the need for integrated educational strategies that align pedagogical innovation with systemic readiness in the era of digital transformation.</w:t>
      </w:r>
    </w:p>
    <w:p w14:paraId="75C4E123" w14:textId="0EA1D808" w:rsidR="004B2117" w:rsidRPr="00657435" w:rsidRDefault="004B2117" w:rsidP="00657435">
      <w:pPr>
        <w:tabs>
          <w:tab w:val="left" w:pos="142"/>
          <w:tab w:val="left" w:pos="284"/>
          <w:tab w:val="left" w:pos="426"/>
        </w:tabs>
        <w:spacing w:after="0" w:line="240" w:lineRule="auto"/>
        <w:jc w:val="both"/>
        <w:rPr>
          <w:rFonts w:ascii="Garamond" w:hAnsi="Garamond" w:cs="Times New Roman"/>
          <w:sz w:val="26"/>
          <w:szCs w:val="26"/>
        </w:rPr>
      </w:pPr>
    </w:p>
    <w:p w14:paraId="190A1A4A" w14:textId="71111870" w:rsidR="007F4360"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200D0735" wp14:editId="208BEAA3">
            <wp:extent cx="5904000" cy="2880000"/>
            <wp:effectExtent l="19050" t="19050" r="2095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000" cy="2880000"/>
                    </a:xfrm>
                    <a:prstGeom prst="rect">
                      <a:avLst/>
                    </a:prstGeom>
                    <a:noFill/>
                    <a:ln>
                      <a:solidFill>
                        <a:schemeClr val="tx1"/>
                      </a:solidFill>
                    </a:ln>
                  </pic:spPr>
                </pic:pic>
              </a:graphicData>
            </a:graphic>
          </wp:inline>
        </w:drawing>
      </w:r>
    </w:p>
    <w:p w14:paraId="29E4710A" w14:textId="77777777" w:rsidR="004B2117" w:rsidRDefault="004B211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11 antecedents</w:t>
      </w:r>
    </w:p>
    <w:p w14:paraId="61F1823D" w14:textId="77777777" w:rsidR="00657435" w:rsidRPr="00657435" w:rsidRDefault="00657435" w:rsidP="00657435">
      <w:pPr>
        <w:tabs>
          <w:tab w:val="left" w:pos="142"/>
          <w:tab w:val="left" w:pos="284"/>
          <w:tab w:val="left" w:pos="426"/>
        </w:tabs>
        <w:spacing w:after="0" w:line="240" w:lineRule="auto"/>
        <w:jc w:val="both"/>
        <w:rPr>
          <w:rFonts w:ascii="Garamond" w:hAnsi="Garamond" w:cs="Times New Roman"/>
          <w:b/>
          <w:bCs/>
          <w:noProof/>
          <w:sz w:val="26"/>
          <w:szCs w:val="26"/>
        </w:rPr>
      </w:pPr>
    </w:p>
    <w:p w14:paraId="66E78DDE" w14:textId="7F28C2D2" w:rsidR="007F4360" w:rsidRPr="00657435" w:rsidRDefault="00E312CE"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noProof/>
          <w:sz w:val="26"/>
          <w:szCs w:val="26"/>
        </w:rPr>
        <w:drawing>
          <wp:inline distT="0" distB="0" distL="0" distR="0" wp14:anchorId="7BF42624" wp14:editId="6E7E7E3D">
            <wp:extent cx="6283636" cy="2880000"/>
            <wp:effectExtent l="19050" t="19050" r="2222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636" cy="2880000"/>
                    </a:xfrm>
                    <a:prstGeom prst="rect">
                      <a:avLst/>
                    </a:prstGeom>
                    <a:noFill/>
                    <a:ln>
                      <a:solidFill>
                        <a:schemeClr val="tx1"/>
                      </a:solidFill>
                    </a:ln>
                  </pic:spPr>
                </pic:pic>
              </a:graphicData>
            </a:graphic>
          </wp:inline>
        </w:drawing>
      </w:r>
    </w:p>
    <w:p w14:paraId="6AF625E5" w14:textId="3EB4EBC1" w:rsidR="004B2117" w:rsidRPr="00657435" w:rsidRDefault="004B2117" w:rsidP="00657435">
      <w:pPr>
        <w:tabs>
          <w:tab w:val="left" w:pos="142"/>
          <w:tab w:val="left" w:pos="284"/>
          <w:tab w:val="left" w:pos="426"/>
        </w:tabs>
        <w:spacing w:after="0" w:line="240" w:lineRule="auto"/>
        <w:jc w:val="both"/>
        <w:rPr>
          <w:rFonts w:ascii="Garamond" w:hAnsi="Garamond" w:cs="Times New Roman"/>
          <w:b/>
          <w:bCs/>
          <w:noProof/>
          <w:sz w:val="26"/>
          <w:szCs w:val="26"/>
        </w:rPr>
      </w:pPr>
      <w:r w:rsidRPr="00657435">
        <w:rPr>
          <w:rFonts w:ascii="Garamond" w:hAnsi="Garamond" w:cs="Times New Roman"/>
          <w:b/>
          <w:bCs/>
          <w:noProof/>
          <w:sz w:val="26"/>
          <w:szCs w:val="26"/>
        </w:rPr>
        <w:t>Fig 12 consequences</w:t>
      </w:r>
    </w:p>
    <w:p w14:paraId="3DC530A4" w14:textId="77777777" w:rsidR="00316835" w:rsidRPr="00657435" w:rsidRDefault="00316835" w:rsidP="00657435">
      <w:pPr>
        <w:tabs>
          <w:tab w:val="left" w:pos="142"/>
          <w:tab w:val="left" w:pos="284"/>
          <w:tab w:val="left" w:pos="426"/>
        </w:tabs>
        <w:spacing w:after="0" w:line="240" w:lineRule="auto"/>
        <w:jc w:val="both"/>
        <w:rPr>
          <w:rFonts w:ascii="Garamond" w:hAnsi="Garamond" w:cs="Times New Roman"/>
          <w:b/>
          <w:bCs/>
          <w:noProof/>
          <w:sz w:val="26"/>
          <w:szCs w:val="26"/>
        </w:rPr>
      </w:pPr>
    </w:p>
    <w:p w14:paraId="1CFDE73D" w14:textId="1E33BBCD" w:rsidR="004B2117" w:rsidRPr="00657435" w:rsidRDefault="00A416DD"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Students Characteristic</w:t>
      </w:r>
    </w:p>
    <w:p w14:paraId="262D067D" w14:textId="2B484D79" w:rsidR="00986C89" w:rsidRPr="00657435" w:rsidRDefault="00986C89"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This category is a crucial aspect in research on student learning engagement in the digital age (7 antecedents). Critical thinking elements (e.g.,</w:t>
      </w:r>
      <w:r w:rsidR="00D058C8" w:rsidRPr="00657435">
        <w:rPr>
          <w:rFonts w:ascii="Garamond" w:eastAsia="Times New Roman" w:hAnsi="Garamond" w:cs="Times New Roman"/>
          <w:kern w:val="0"/>
          <w:sz w:val="26"/>
          <w:szCs w:val="26"/>
          <w:lang w:eastAsia="en-ID"/>
          <w14:ligatures w14:val="none"/>
        </w:rPr>
        <w:t xml:space="preserve"> </w:t>
      </w:r>
      <w:r w:rsidR="00A416DD"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{"citationID":"YFcA6VRk","properties":{"formattedCitation":"(Rahmat et al., 2023; Suwardika et al., 2024)","plainCitation":"(Rahmat et al., 2023; Suwardika et al., 2024)","dontUpdate":true,"noteIndex":0},"citationItems":[{"id":825,"uris":["http://zotero.org/users/local/rGxUvxsB/items/NB6C4W88"],"itemData":{"id":825,"type":"article-journal","abstract":"Experiment activity is an essential part of science learning. Suling (flute), a traditional musical instrument from West Java, can be used as a learning media for sound wave concepts. Technology-based mobile can be used as an experimental tool is Phypox. This study aims to report using a combination of Suling and Phypox in experiment activities. The designed activity aims to engage students in critical thinking. The instrument for measuring critical thinking consists of five questions based on the critical thinking aspect: interpretation, analysis, evaluation, inference, and explanation. The study used a one-group pre-and post-test design on 32 8th-grade students at one of the junior high schools in West Java Province, Indonesia. The study procedure is a pre-test, discussion of Suling’s concepts, introduction to Phypox apps, experiment activity, presentation, and post-test. Data analysis uses the normalized gain to compare the pre-and post-test. Experiment activities help students to understand frequency, open organ pipes concepts, and investigate the speed of sound produced by Suling. The study found a significant change in the pre-and post-test scores of students after experimenting, so it could be interpreted that the experimental activities using Suling and Phypox affected critical-thinking students.","container-title":"International Journal of Evaluation and Research in Education (IJERE)","DOI":"10.11591/ijere.v12i4.25753","ISSN":"2620-5440, 2252-8822","issue":"4","journalAbbreviation":"IJERE","language":"en","license":"http://creativecommons.org/licenses/by-nc/4.0","note":"number: 4","page":"2165","source":"DOI.org (Crossref)","title":"Improve critical thinking skills using traditional musical instruments in science learning","volume":"12","author":[{"family":"Rahmat","given":"Anggi Datiatur"},{"family":"Kuswanto","given":"Heru"},{"family":"Wilujeng","given":"Insih"},{"family":"Pratidhina","given":"Elisabeth"}],"issued":{"date-parts":[["2023",12,1]]}}},{"id":846,"uris":["http://zotero.org/users/local/rGxUvxsB/items/3VAZNZLZ"],"itemData":{"id":846,"type":"article-journal","abstract":"Purpose – In the era of Industry 4.0, the relevance of webinar tutorials, a form of distance learning, is paramount. These tutorials can catalyze self-regulated learning, critical thinking and communication skills, especially for prospective and in-service teachers pursuing higher education. This paper aims to develop a conceptual framework and report the results of implementing a flipped classroom with whiteboard animation and modules. This innovative approach seeks to enhance students’ self-regulation, critical thinking and communication abilities.","container-title":"Asian Association of Open Universities Journal","DOI":"10.1108/AAOUJ-10-2023-0115","ISSN":"1858-3431, 2414-6994","issue":"2","journalAbbreviation":"AAOUJ","language":"en","license":"https://www.emerald.com/insight/site-policies","note":"number: 2","page":"135-152","source":"DOI.org (Crossref)","title":"A flipped classroom with whiteboard animation and modules to enhance students' self-regulation, critical thinking and communication skills: a conceptual framework and its implementation","title-short":"A flipped classroom with whiteboard animation and modules to enhance students' self-regulation, critical thinking and communication skills","volume":"19","author":[{"family":"Suwardika","given":"Gede"},{"family":"Sopandi","given":"Agus Tatang"},{"family":"Indrawan","given":"I. Putu Oktap"},{"family":"Masakazu","given":"Kadek"}],"issued":{"date-parts":[["2024",9,26]]}}}],"schema":"https://github.com/citation-style-language/schema/raw/master/csl-citation.json"} </w:instrText>
      </w:r>
      <w:r w:rsidR="00A416DD" w:rsidRPr="00657435">
        <w:rPr>
          <w:rFonts w:ascii="Garamond" w:hAnsi="Garamond" w:cs="Times New Roman"/>
          <w:sz w:val="26"/>
          <w:szCs w:val="26"/>
        </w:rPr>
        <w:fldChar w:fldCharType="separate"/>
      </w:r>
      <w:r w:rsidR="00D058C8" w:rsidRPr="00657435">
        <w:rPr>
          <w:rFonts w:ascii="Garamond" w:hAnsi="Garamond" w:cs="Times New Roman"/>
          <w:sz w:val="26"/>
          <w:szCs w:val="26"/>
        </w:rPr>
        <w:t>Rahmat et al., 2023; Suwardika et al., 2024)</w:t>
      </w:r>
      <w:r w:rsidR="00A416DD" w:rsidRPr="00657435">
        <w:rPr>
          <w:rFonts w:ascii="Garamond" w:hAnsi="Garamond" w:cs="Times New Roman"/>
          <w:sz w:val="26"/>
          <w:szCs w:val="26"/>
        </w:rPr>
        <w:fldChar w:fldCharType="end"/>
      </w:r>
      <w:r w:rsidR="00A416DD" w:rsidRPr="00657435">
        <w:rPr>
          <w:rFonts w:ascii="Garamond" w:hAnsi="Garamond" w:cs="Times New Roman"/>
          <w:sz w:val="26"/>
          <w:szCs w:val="26"/>
        </w:rPr>
        <w:t xml:space="preserve">, </w:t>
      </w:r>
      <w:r w:rsidRPr="00657435">
        <w:rPr>
          <w:rFonts w:ascii="Garamond" w:hAnsi="Garamond" w:cs="Times New Roman"/>
          <w:sz w:val="26"/>
          <w:szCs w:val="26"/>
        </w:rPr>
        <w:t>self-</w:t>
      </w:r>
      <w:proofErr w:type="spellStart"/>
      <w:r w:rsidRPr="00657435">
        <w:rPr>
          <w:rFonts w:ascii="Garamond" w:hAnsi="Garamond" w:cs="Times New Roman"/>
          <w:sz w:val="26"/>
          <w:szCs w:val="26"/>
        </w:rPr>
        <w:t>refulation</w:t>
      </w:r>
      <w:proofErr w:type="spellEnd"/>
      <w:r w:rsidR="00A416DD" w:rsidRPr="00657435">
        <w:rPr>
          <w:rFonts w:ascii="Garamond" w:hAnsi="Garamond" w:cs="Times New Roman"/>
          <w:sz w:val="26"/>
          <w:szCs w:val="26"/>
        </w:rPr>
        <w:t xml:space="preserve"> (</w:t>
      </w:r>
      <w:r w:rsidRPr="00657435">
        <w:rPr>
          <w:rFonts w:ascii="Garamond" w:hAnsi="Garamond" w:cs="Times New Roman"/>
          <w:sz w:val="26"/>
          <w:szCs w:val="26"/>
        </w:rPr>
        <w:t xml:space="preserve">e.g., </w:t>
      </w:r>
      <w:r w:rsidR="00A416DD"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{"citationID":"ycDw8WeI","properties":{"formattedCitation":"(Chusni et al., 2022; Fauziah et al., 2024)","plainCitation":"(Chusni et al., 2022; Fauziah et al., 2024)","dontUpdate":true,"noteIndex":0},"citationItems":[{"id":819,"uris":["http://zotero.org/users/local/rGxUvxsB/items/XVKJMXEB"],"itemData":{"id":819,"type":"article-journal","abstract":"This study aimed to measure the effectiveness of the Discovery-based Multiple Representation (DMR) learning model that use to improve student critical thinking skills (CTS) of students on environmental change material. This study used the pre-experiment method, with a one-group pretest-posttest design. The populace of this study was students in MTs 2 Sleman. The sample was selected by a random sampling technique amounting to 60 people. The instrument used to collect data on critical thinking capability was an essay test to measure the effectiveness of the DMR learning model in increasing students' CTS. The data analysis technique used paired sample t-test with (p= .05) to test the effectiveness of the DMR learning model. The results showed that the DMR learning model increased student CTS significantly in natural science learning. The normalized gain value of 0.25 indicates the enhancement of student CTS at the middle category. Thus, the DMR learning model is useful as an alternative to improve students' CTS on environmental change topics.","container-title":"International Journal of Instruction","DOI":"10.29333/iji.2022.15153a","ISSN":"1694609X, 13081470","issue":"1","journalAbbreviation":"INT J INSTRUCTION","language":"en","note":"number: 1","page":"927-944","source":"DOI.org (Crossref)","title":"Enhancing Critical Thinking Skills of Junior High School Students through Discovery-Based Multiple Representations Learning Model","volume":"15","author":[{"family":"Chusni","given":"Muhammad Minan"},{"family":"Saputro","given":"Sulistyo"},{"literal":"Doctoral Program in Natural Science Education, Universitas Sebelas Maret, Surakarta, Indonesia, sulistyo_s@staff.uns.ac.id"},{"family":"Suranto","given":"Suranto"},{"literal":"Doctoral Program in Natural Science Education, Universitas Sebelas Maret, Surakarta, Indonesia, suranto57@staff.uns.ac.id"},{"family":"Rahardjo","given":"Sentot Budi"},{"literal":"Doctoral Program in Natural Science Education, Universitas Sebelas Maret, Surakarta, Indonesia, sentotbr@staff.uns.ac.id"}],"issued":{"date-parts":[["2022",1,1]]}}},{"id":842,"uris":["http://zotero.org/users/local/rGxUvxsB/items/ZP2XKNEK"],"itemData":{"id":842,"type":"article-journal","abstract":"The study aims to examine the relationship between critical thinking and scientific arguments in science learning. Critical thinking and scientific argumentation help to understand and apply scientific concepts to science learning. The research method is a systematic literature review of articles published between 2012 and 2022 and indexed in Scopus at least Quartile 2 (Q2), so the article’s quality is high. In search results for related articles published in the last decade, the study found 17,800 articles, but only 11 met the criteria focused on improving critical thinking skills through various methods and strategies, including the use of newspaper articles, scientific argumentation, and visualization techniques. The findings from literature reviews show an interdependent relationship between critical thinking and scientific arguments, and both significantly contribute to the study of science. Several methods exist to train and develop critical thinking and scientific arguments in science learning: argument and concept maps, essential reading activities, argument or speech texts, discussion activities, analytical questions, learning technologies, and specific learning strategies. This study concludes that critical thinking and scientific argument are interrelated skills that contribute to learning. The complex relationship between critical thinking and scientific arguments in science learning can encourage deeper learning and understanding of concepts.","container-title":"Jurnal Pendidikan IPA Indonesia","DOI":"DOI: 10.15294/jpii.v13i2.2585","issue":"2","language":"en","note":"number: 2","page":"239-254","source":"Zotero","title":"The Relationship Between Critical Thinking and Scientific Argumentation in Science Learning","volume":"3","author":[{"family":"Fauziah","given":"A N M"},{"family":"Hendratmoko","given":"A F"},{"family":"Mahdiannur","given":"M A"},{"family":"Ermawan","given":"M Z F"},{"family":"Suwandi","given":"E"},{"family":"Ratri","given":"S Y"}],"issued":{"date-parts":[["2024"]]}}}],"schema":"https://github.com/citation-style-language/schema/raw/master/csl-citation.json"} </w:instrText>
      </w:r>
      <w:r w:rsidR="00A416DD" w:rsidRPr="00657435">
        <w:rPr>
          <w:rFonts w:ascii="Garamond" w:hAnsi="Garamond" w:cs="Times New Roman"/>
          <w:sz w:val="26"/>
          <w:szCs w:val="26"/>
        </w:rPr>
        <w:fldChar w:fldCharType="separate"/>
      </w:r>
      <w:r w:rsidR="00831D20" w:rsidRPr="00657435">
        <w:rPr>
          <w:rFonts w:ascii="Garamond" w:hAnsi="Garamond" w:cs="Times New Roman"/>
          <w:sz w:val="26"/>
          <w:szCs w:val="26"/>
        </w:rPr>
        <w:t>Chusni et al., 2022; Fauziah et al., 2024)</w:t>
      </w:r>
      <w:r w:rsidR="00A416DD" w:rsidRPr="00657435">
        <w:rPr>
          <w:rFonts w:ascii="Garamond" w:hAnsi="Garamond" w:cs="Times New Roman"/>
          <w:sz w:val="26"/>
          <w:szCs w:val="26"/>
        </w:rPr>
        <w:fldChar w:fldCharType="end"/>
      </w:r>
      <w:r w:rsidR="00A416DD" w:rsidRPr="00657435">
        <w:rPr>
          <w:rFonts w:ascii="Garamond" w:hAnsi="Garamond" w:cs="Times New Roman"/>
          <w:sz w:val="26"/>
          <w:szCs w:val="26"/>
        </w:rPr>
        <w:t xml:space="preserve">, </w:t>
      </w:r>
      <w:r w:rsidRPr="00657435">
        <w:rPr>
          <w:rFonts w:ascii="Garamond" w:hAnsi="Garamond" w:cs="Times New Roman"/>
          <w:sz w:val="26"/>
          <w:szCs w:val="26"/>
        </w:rPr>
        <w:t xml:space="preserve">and learning motivation </w:t>
      </w:r>
      <w:r w:rsidR="00A6440C" w:rsidRPr="00657435">
        <w:rPr>
          <w:rFonts w:ascii="Garamond" w:hAnsi="Garamond" w:cs="Times New Roman"/>
          <w:sz w:val="26"/>
          <w:szCs w:val="26"/>
        </w:rPr>
        <w:fldChar w:fldCharType="begin"/>
      </w:r>
      <w:r w:rsidR="00F3540F" w:rsidRPr="00657435">
        <w:rPr>
          <w:rFonts w:ascii="Garamond" w:hAnsi="Garamond" w:cs="Times New Roman"/>
          <w:sz w:val="26"/>
          <w:szCs w:val="26"/>
        </w:rPr>
        <w:instrText xml:space="preserve"> ADDIN ZOTERO_ITEM CSL_CITATION {"citationID":"7tN56wYH","properties":{"formattedCitation":"(Ilhami et al., 2025; Olariu et al., 2024)","plainCitation":"(Ilhami et al., 2025; Olariu et al., 2024)","noteIndex":0},"citationItems":[{"id":840,"uris":["http://zotero.org/users/local/rGxUvxsB/items/BV7NNHJB"],"itemData":{"id":840,"type":"article-journal","abstract":"This research investigates the combined influence of scientific attitude, active learning, and friendly character on the science learning outcomes of junior high school students in Jambi City. It explores how these factors contribute to student's academic performance and social development in science education. A mixed-methods approach was used, integrating quantitative data from questionnaires with qualitative insights from interviews. The sample consisted of junior high school students in Jambi City. Data analysis was performed using multiple regression tests with SPSS to examine the relationship between the variables. The results indicate that scientific attitude, active learning, and friendly character significantly and positively affect students' science learning outcomes. Active learning enhanced students’ engagement and critical thinking skills, while a strong scientific attitude improved their curiosity and problem-solving abilities. Students with well-developed, friendly character traits also demonstrated better social interactions, leading to more effective collaboration in group-based learning activities. Despite these positive outcomes, the study highlights the challenge of translating scientific concepts into realworld applications, which requires greater emphasis on contextual learning and motivation. This study offers a fresh perspective by integrating social-emotional traits such as friendly character into analyzing science learning outcomes, an area often overlooked in previous research. It provides actionable insights into how fostering active learning and positive social interactions can create a more engaging and effective science learning environment.","container-title":"Jurnal Ilmiah Ilmu Terapan Universitas Jambi","DOI":"10.22437/jiituj.v9i1.41809","ISSN":"2580-2259, 2580-2240","issue":"1","journalAbbreviation":"Jur. Ilmh. Ilm. Ter. Un. Ja","language":"en","license":"https://creativecommons.org/licenses/by/4.0","note":"number: 1","page":"1-14","source":"DOI.org (Crossref)","title":"The Influence of Scientific Attitude, Active Learning, and Friendly Character on Science Learning Outcomes in Junior High School Students","volume":"9","author":[{"family":"Ilhami","given":"Mohamad"},{"family":"Amanah","given":"Siti"},{"family":"Nuriyatman","given":"Eko"},{"family":"Priyanto","given":"Priyanto"},{"family":"Kumalasari","given":"Ade"},{"family":"Kurniati","given":"Erisa"},{"family":"Hayati","given":"Suci"},{"family":"Nusantara","given":"Duano Sapta"}],"issued":{"date-parts":[["2025",2,13]]}}},{"id":845,"uris":["http://zotero.org/users/local/rGxUvxsB/items/VSM47BUH"],"itemData":{"id":845,"type":"article-journal","abstract":"Our paper was inspired by the recent Society 5.0 initiative of the Japanese Government which seeks to create a sustainable human-centric society by putting to work recent advances in technology. One of the key challenges in implementing Society 5.0 is providing trusted and secure services for everyone to use. Motivated by this challenge, this paper makes three contributions that we summarize as follows: Our first main contribution is to propose a novel blockchain and smart contract-based trust and reputation service design to reduce the uncertainty associated with buyer feedback in marketplaces that we expect to see in Society 5.0. Our second contribution is to extend Laplace’s Law of Succession in a way that provides a trust measure in a seller’s future performance in terms of their past reputation scores. Our third main contribution is to illustrate three applications of the proposed trust and reputation service. Here, we begin by discussing an application to a multisegment marketplace, where a malicious seller may establish a stellar reputation by selling cheap items, only to use their excellent reputation score to defraud buyers in a different market segment. Next, we demonstrate how our trust and reputation service works in the context of sellers with time-varying performance due, say, to overcoming an initial learning curve. We provide a discounting scheme where older reputation scores are given less weight than more recent ones. Finally, we show how to predict trust and reputation far in the future, based on incomplete information. Extensive simulations have confirmed the accuracy of our analytical predictions.","container-title":"Smart Cities","DOI":"10.3390/smartcities7050103","ISSN":"2624-6511","issue":"5","journalAbbreviation":"Smart Cities","language":"en","license":"https://creativecommons.org/licenses/by/4.0/","note":"number: 5","page":"2645-2669","source":"DOI.org (Crossref)","title":"Towards Trust and Reputation as a Service in Society 5.0","volume":"7","author":[{"family":"Olariu","given":"Stephan"},{"family":"Mukkamala","given":"Ravi"},{"family":"Aljohani","given":"Meshari"}],"issued":{"date-parts":[["2024",9,13]]}}}],"schema":"https://github.com/citation-style-language/schema/raw/master/csl-citation.json"} </w:instrText>
      </w:r>
      <w:r w:rsidR="00A6440C" w:rsidRPr="00657435">
        <w:rPr>
          <w:rFonts w:ascii="Garamond" w:hAnsi="Garamond" w:cs="Times New Roman"/>
          <w:sz w:val="26"/>
          <w:szCs w:val="26"/>
        </w:rPr>
        <w:fldChar w:fldCharType="separate"/>
      </w:r>
      <w:r w:rsidR="00F3540F" w:rsidRPr="00657435">
        <w:rPr>
          <w:rFonts w:ascii="Garamond" w:hAnsi="Garamond" w:cs="Times New Roman"/>
          <w:sz w:val="26"/>
          <w:szCs w:val="26"/>
        </w:rPr>
        <w:t>(Ilhami et al., 2025; Olariu et al., 2024)</w:t>
      </w:r>
      <w:r w:rsidR="00A6440C" w:rsidRPr="00657435">
        <w:rPr>
          <w:rFonts w:ascii="Garamond" w:hAnsi="Garamond" w:cs="Times New Roman"/>
          <w:sz w:val="26"/>
          <w:szCs w:val="26"/>
        </w:rPr>
        <w:fldChar w:fldCharType="end"/>
      </w:r>
      <w:r w:rsidR="00A416DD" w:rsidRPr="00657435">
        <w:rPr>
          <w:rFonts w:ascii="Garamond" w:hAnsi="Garamond" w:cs="Times New Roman"/>
          <w:sz w:val="26"/>
          <w:szCs w:val="26"/>
        </w:rPr>
        <w:t xml:space="preserve"> </w:t>
      </w:r>
      <w:r w:rsidRPr="00657435">
        <w:rPr>
          <w:rFonts w:ascii="Garamond" w:hAnsi="Garamond" w:cs="Times New Roman"/>
          <w:sz w:val="26"/>
          <w:szCs w:val="26"/>
        </w:rPr>
        <w:t xml:space="preserve">were recognised as the most significant antecedents, each cited in two studies, underscoring the importance of students' cognitive and affective </w:t>
      </w:r>
      <w:r w:rsidRPr="00657435">
        <w:rPr>
          <w:rFonts w:ascii="Garamond" w:hAnsi="Garamond" w:cs="Times New Roman"/>
          <w:sz w:val="26"/>
          <w:szCs w:val="26"/>
        </w:rPr>
        <w:lastRenderedPageBreak/>
        <w:t>capacities in fostering meaningful learning engagement. Other antecedents comprised cognitive comprehension</w:t>
      </w:r>
      <w:r w:rsidR="00A416DD" w:rsidRPr="00657435">
        <w:rPr>
          <w:rFonts w:ascii="Garamond" w:hAnsi="Garamond" w:cs="Times New Roman"/>
          <w:sz w:val="26"/>
          <w:szCs w:val="26"/>
        </w:rPr>
        <w:t xml:space="preserve"> </w:t>
      </w:r>
      <w:r w:rsidR="00A6440C"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{"citationID":"EBFNhUFL","properties":{"formattedCitation":"(Widyawati et al., 2024)","plainCitation":"(Widyawati et al., 2024)","noteIndex":0},"citationItems":[{"id":"5JXIUwDs/Puca6ddj","uris":["http://zotero.org/users/local/f3vqrivG/items/W8C4E8JH"],"itemData":{"id":836,"type":"article-journal","abstract":"Objective: The aim of this research is to analyze the feasibility and impact of the Tri N-based E-PBL STEM learning model on students' critical thinking skills and verbal representation in science learning.","container-title":"Revista de Gestão Social e Ambiental","DOI":"10.24857/rgsa.v18n7-027","ISSN":"1981-982X","issue":"7","journalAbbreviation":"RGSA","language":"en","license":"https://creativecommons.org/licenses/by/4.0","page":"e05986","source":"DOI.org (Crossref)","title":"The Teachings of Tamansiswa (Niteni, Nirokke, Nambahi) Based E-PBL-STEM: Is It Feasible to Improve Critical Thinking Skills and Science Verbal Representation?","title-short":"The Teachings of Tamansiswa (Niteni, Nirokke, Nambahi) Based E-PBL-STEM","volume":"18","author":[{"family":"Widyawati","given":"Ani"},{"literal":"Suyanta"},{"family":"Kuswanto","given":"Heru"},{"family":"Santoso","given":"A. K. Prodjo"},{"family":"Zhanbyrbaevna","given":"Tussupbekova Madina"}],"issued":{"date-parts":[["2024",4,5]]}}}],"schema":"https://github.com/citation-style-language/schema/raw/master/csl-citation.json"} </w:instrText>
      </w:r>
      <w:r w:rsidR="00A6440C" w:rsidRPr="00657435">
        <w:rPr>
          <w:rFonts w:ascii="Garamond" w:hAnsi="Garamond" w:cs="Times New Roman"/>
          <w:sz w:val="26"/>
          <w:szCs w:val="26"/>
        </w:rPr>
        <w:fldChar w:fldCharType="separate"/>
      </w:r>
      <w:r w:rsidR="00A6440C" w:rsidRPr="00657435">
        <w:rPr>
          <w:rFonts w:ascii="Garamond" w:hAnsi="Garamond" w:cs="Times New Roman"/>
          <w:sz w:val="26"/>
          <w:szCs w:val="26"/>
        </w:rPr>
        <w:t>(Widyawati et al., 2024)</w:t>
      </w:r>
      <w:r w:rsidR="00A6440C" w:rsidRPr="00657435">
        <w:rPr>
          <w:rFonts w:ascii="Garamond" w:hAnsi="Garamond" w:cs="Times New Roman"/>
          <w:sz w:val="26"/>
          <w:szCs w:val="26"/>
        </w:rPr>
        <w:fldChar w:fldCharType="end"/>
      </w:r>
      <w:r w:rsidR="00A416DD" w:rsidRPr="00657435">
        <w:rPr>
          <w:rFonts w:ascii="Garamond" w:hAnsi="Garamond" w:cs="Times New Roman"/>
          <w:sz w:val="26"/>
          <w:szCs w:val="26"/>
        </w:rPr>
        <w:t xml:space="preserve">, </w:t>
      </w:r>
      <w:r w:rsidRPr="00657435">
        <w:rPr>
          <w:rFonts w:ascii="Garamond" w:hAnsi="Garamond" w:cs="Times New Roman"/>
          <w:sz w:val="26"/>
          <w:szCs w:val="26"/>
        </w:rPr>
        <w:t xml:space="preserve">communication </w:t>
      </w:r>
      <w:r w:rsidR="00A6440C"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{"citationID":"PVTHUPl1","properties":{"formattedCitation":"(Wibowo et al., 2024)","plainCitation":"(Wibowo et al., 2024)","noteIndex":0},"citationItems":[{"id":"5JXIUwDs/vni8vGnX","uris":["http://zotero.org/users/local/f3vqrivG/items/YL6X262N"],"itemData":{"id":841,"type":"article-journal","abstract":"For prospective elementary education teachers, critical thinking and collaboration skills in project-based science learning can impact environmental awareness. Critical thinking and collaboration skills can affect prospective teachers’ environmental awareness differently, especially in science learning with environmental material. This research aims to determine the effect of critical thinking and collaboration skills on environmental awareness. Correlational research was used to determine the relationship between the two variables. Research data was obtained from 114 prospective Elementary Education teachers at UIN Maulana Malik Ibrahim Malang through project-based learning. Assessment of critical thinking skills was based on reports or essays from projects undertaken. The collaboration instrument was based on rubrics and peer questionnaires. The environmental awareness instrument used a 27-item questionnaire. The questionnaire was measured using a Likert scale of 1 (strongly disagree) – 4 (strongly agree). The data obtained was tested using SEM to determine the effect of critical thinking and collaboration skills on environmental awareness. The research results show that critical thinking and collaboration skills positively affect environmental awareness. This is indicated by a P-value for critical thinking skills is 0.047 &lt; 0.05 and a P-value for collaboration skills is 0 &lt; 0.05. Collaboration skills have a stronger effect on environmental awareness than critical thinking skills (path coefficients = 0.766). Indicators of collaboration skills tend to emphasize the aspect of caring more about others and the surrounding environment. The suggestion for further research is needed to see the effects of other variables on environmental awareness in project-based science learning, such as creative thinking and communication skills.","container-title":"Jurnal Pendidikan IPA Indonesia","DOI":"10.15294/jpii.v13i1.48561","ISSN":"2089-4392, 2339-1286","issue":"1","journalAbbreviation":"JPII","language":"en","page":"103-115","source":"DOI.org (Crossref)","title":"Critical Thinking and Collaboration Skills on Environmental Awareness in Project-Based Science Learning","volume":"13","author":[{"family":"Wibowo","given":"A. M."},{"family":"Utaya","given":"S."},{"family":"Wahjoedi","given":"W."},{"family":"Zubaidah","given":"S."},{"family":"Amin","given":"S."},{"family":"Prasad","given":"R. R."}],"issued":{"date-parts":[["2024",3,29]]}}}],"schema":"https://github.com/citation-style-language/schema/raw/master/csl-citation.json"} </w:instrText>
      </w:r>
      <w:r w:rsidR="00A6440C" w:rsidRPr="00657435">
        <w:rPr>
          <w:rFonts w:ascii="Garamond" w:hAnsi="Garamond" w:cs="Times New Roman"/>
          <w:sz w:val="26"/>
          <w:szCs w:val="26"/>
        </w:rPr>
        <w:fldChar w:fldCharType="separate"/>
      </w:r>
      <w:r w:rsidR="00A6440C" w:rsidRPr="00657435">
        <w:rPr>
          <w:rFonts w:ascii="Garamond" w:hAnsi="Garamond" w:cs="Times New Roman"/>
          <w:sz w:val="26"/>
          <w:szCs w:val="26"/>
        </w:rPr>
        <w:t>(Wibowo et al., 2024)</w:t>
      </w:r>
      <w:r w:rsidR="00A6440C" w:rsidRPr="00657435">
        <w:rPr>
          <w:rFonts w:ascii="Garamond" w:hAnsi="Garamond" w:cs="Times New Roman"/>
          <w:sz w:val="26"/>
          <w:szCs w:val="26"/>
        </w:rPr>
        <w:fldChar w:fldCharType="end"/>
      </w:r>
      <w:r w:rsidR="00A416DD" w:rsidRPr="00657435">
        <w:rPr>
          <w:rFonts w:ascii="Garamond" w:hAnsi="Garamond" w:cs="Times New Roman"/>
          <w:sz w:val="26"/>
          <w:szCs w:val="26"/>
        </w:rPr>
        <w:t xml:space="preserve">, </w:t>
      </w:r>
      <w:r w:rsidRPr="00657435">
        <w:rPr>
          <w:rFonts w:ascii="Garamond" w:hAnsi="Garamond" w:cs="Times New Roman"/>
          <w:sz w:val="26"/>
          <w:szCs w:val="26"/>
        </w:rPr>
        <w:t>accountability</w:t>
      </w:r>
      <w:r w:rsidR="00A416DD" w:rsidRPr="00657435">
        <w:rPr>
          <w:rFonts w:ascii="Garamond" w:hAnsi="Garamond" w:cs="Times New Roman"/>
          <w:sz w:val="26"/>
          <w:szCs w:val="26"/>
        </w:rPr>
        <w:t xml:space="preserve"> </w:t>
      </w:r>
      <w:r w:rsidR="00A6440C" w:rsidRPr="00657435">
        <w:rPr>
          <w:rFonts w:ascii="Garamond" w:hAnsi="Garamond" w:cs="Times New Roman"/>
          <w:sz w:val="26"/>
          <w:szCs w:val="26"/>
        </w:rPr>
        <w:fldChar w:fldCharType="begin"/>
      </w:r>
      <w:r w:rsidR="00D058C8" w:rsidRPr="00657435">
        <w:rPr>
          <w:rFonts w:ascii="Garamond" w:hAnsi="Garamond" w:cs="Times New Roman"/>
          <w:sz w:val="26"/>
          <w:szCs w:val="26"/>
        </w:rPr>
        <w:instrText xml:space="preserve"> ADDIN ZOTERO_ITEM CSL_CITATION {"citationID":"bEZoYzQX","properties":{"formattedCitation":"(Zuhri et al., 2023)","plainCitation":"(Zuhri et al., 2023)","noteIndex":0},"citationItems":[{"id":829,"uris":["http://zotero.org/users/local/rGxUvxsB/items/2QPZZUDE"],"itemData":{"id":829,"type":"article-journal","abstract":"The paper investigates the multiple representation approach as used in elementary school science learning. A systematic literature review (SLR) method and preferred reporting items for systematic review and meta-analysis (PRISMA) protocol were employed in this research. This included systematic review stages, eligibility and exclusion criteria, review process procedures, and data abstraction and analysis assisted by Publish or Perish 7, VOSviewer, and NVivo 12 Plus applications. The search for publications on Scopus through the Publish or Perish 7 application yielded 605 publications, and for the ERIC database, there were 2018 publications, making 2623 publications. The publications were then filtered according to compatible themes and 50 were selected to be used as material for the SLR. The 50 publications were analyzed according to the assigned topics through the NVivo 12 Plus application, and the results are described in this paper. According to literature, multiple representations is a learning approach that involves using more than one or two representations. This is done by utilizing text, video, tables, audio, animation, diagrams, analogies, cartoons, movements, formulas, and graphs to reflect, interpret, and solve scientific problems in elementary science learning. The multiple representation approach is implemented through task assignment, visualization technology; representation of images, symbols, tables, pictures, and graphs; scientific investigations; engineering design; technological skills; applications; recordings; and written symbols. The impact that the multiple representation approach has in elementary science learning is an increase in reasoning skills, critical thinking skills, communication skills, solving of science problems, concern for nature conservation, and social and visual intelligence. This paper contributes to research examining multiple representations in elementary school science learning.","container-title":"International Journal of Learning, Teaching and Educational Research","DOI":"10.26803/ijlter.22.3.4","ISSN":"16942493, 16942116","issue":"3","journalAbbreviation":"IJLTER","language":"en","note":"number: 3","page":"51-73","source":"DOI.org (Crossref)","title":"Multiple Representation Approach in Elementary School Science Learning: A Systematic Literature Review","title-short":"Multiple Representation Approach in Elementary School Science Learning","volume":"22","author":[{"family":"Zuhri","given":"Rois Saifuddin"},{"family":"Wilujeng","given":"Insih"},{"family":"Haryanto","given":"Haryanto"}],"issued":{"date-parts":[["2023",3,30]]}}}],"schema":"https://github.com/citation-style-language/schema/raw/master/csl-citation.json"} </w:instrText>
      </w:r>
      <w:r w:rsidR="00A6440C" w:rsidRPr="00657435">
        <w:rPr>
          <w:rFonts w:ascii="Garamond" w:hAnsi="Garamond" w:cs="Times New Roman"/>
          <w:sz w:val="26"/>
          <w:szCs w:val="26"/>
        </w:rPr>
        <w:fldChar w:fldCharType="separate"/>
      </w:r>
      <w:r w:rsidR="00D058C8" w:rsidRPr="00657435">
        <w:rPr>
          <w:rFonts w:ascii="Garamond" w:hAnsi="Garamond" w:cs="Times New Roman"/>
          <w:sz w:val="26"/>
          <w:szCs w:val="26"/>
        </w:rPr>
        <w:t>(Zuhri et al., 2023)</w:t>
      </w:r>
      <w:r w:rsidR="00A6440C" w:rsidRPr="00657435">
        <w:rPr>
          <w:rFonts w:ascii="Garamond" w:hAnsi="Garamond" w:cs="Times New Roman"/>
          <w:sz w:val="26"/>
          <w:szCs w:val="26"/>
        </w:rPr>
        <w:fldChar w:fldCharType="end"/>
      </w:r>
      <w:r w:rsidR="00A416DD" w:rsidRPr="00657435">
        <w:rPr>
          <w:rFonts w:ascii="Garamond" w:hAnsi="Garamond" w:cs="Times New Roman"/>
          <w:sz w:val="26"/>
          <w:szCs w:val="26"/>
        </w:rPr>
        <w:t xml:space="preserve">, </w:t>
      </w:r>
      <w:r w:rsidRPr="00657435">
        <w:rPr>
          <w:rFonts w:ascii="Garamond" w:hAnsi="Garamond" w:cs="Times New Roman"/>
          <w:sz w:val="26"/>
          <w:szCs w:val="26"/>
        </w:rPr>
        <w:t>and social competencies (inherent in character development and collaborative efforts within active learning). Student attributes, including self-regulation, critical thinking abilities, and intrinsic motivation, surfaced as significant themes contributing to the efficacy of reflective, collaborative, and technology-driven methodologies, and were pivotal in enhancing learning preparedness in the 21st century. Twenty-first.</w:t>
      </w:r>
    </w:p>
    <w:p w14:paraId="6BFEC327" w14:textId="1183565B" w:rsidR="00A416DD" w:rsidRPr="00657435" w:rsidRDefault="00A416DD"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Learning Factors</w:t>
      </w:r>
    </w:p>
    <w:p w14:paraId="0DF791F2" w14:textId="11D0BF47" w:rsidR="00986C89" w:rsidRPr="00657435" w:rsidRDefault="00986C89"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This category encompasses learning aspects that directly affect students' educational experiences and are critical factors in enhancing learner engagement (21 studies). The predominant themes examined were innovative learning models, including PBL, STEM, and discovery learning (8 studies), highlighting the significance of explorative and problem-based methodologies as essential catalysts for student engagement</w:t>
      </w:r>
      <w:r w:rsidR="00F3540F" w:rsidRPr="00657435">
        <w:rPr>
          <w:rFonts w:ascii="Garamond" w:eastAsia="Times New Roman" w:hAnsi="Garamond" w:cs="Times New Roman"/>
          <w:kern w:val="0"/>
          <w:sz w:val="26"/>
          <w:szCs w:val="26"/>
          <w:lang w:eastAsia="en-ID"/>
          <w14:ligatures w14:val="none"/>
        </w:rPr>
        <w:t xml:space="preserve"> </w:t>
      </w:r>
      <w:r w:rsidR="00A6440C" w:rsidRPr="00657435">
        <w:rPr>
          <w:rFonts w:ascii="Garamond" w:hAnsi="Garamond" w:cs="Times New Roman"/>
          <w:sz w:val="26"/>
          <w:szCs w:val="26"/>
        </w:rPr>
        <w:t>(</w:t>
      </w:r>
      <w:r w:rsidRPr="00657435">
        <w:rPr>
          <w:rFonts w:ascii="Garamond" w:hAnsi="Garamond" w:cs="Times New Roman"/>
          <w:sz w:val="26"/>
          <w:szCs w:val="26"/>
        </w:rPr>
        <w:t>e.g.,</w:t>
      </w:r>
      <w:r w:rsidR="005655CE"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{"citationID":"Yz4vvvr1","properties":{"formattedCitation":"(Arviani et al., 2023; Putra et al., 2022b; Septiadevana &amp; Abdullah, 2024)","plainCitation":"(Arviani et al., 2023; Putra et al., 2022b; Septiadevana &amp; Abdullah, 2024)","dontUpdate":true,"noteIndex":0},"citationItems":[{"id":833,"uris":["http://zotero.org/users/local/rGxUvxsB/items/I7QP4BGZ"],"itemData":{"id":833,"type":"article-journal","abstract":"One of the causes of students' low higher level thinking abilities is the use of teaching strategies. This research aims to investigate the role of higher order thinking skills teaching strategies to improve students' critical thinking skills in science learning. The research design used was quasi-experimental by dividing students into three groups, namely the experimental class which received teaching strategy intervention that encouraged higher level thinking skills, while the other two groups were students majoring in science and non-science who received traditional teaching intervention. The participants involved were 300 vocational school students. The instruments used in this research are critical thinking skills assessment instruments, dispositions observation sheet of teaching strategies used by the teacher, and question sheets that reveal the teacher's perspective on higher order thinking skills. Quantitative analysis was applied to the data and included descriptive statistics and ANOVA tests and was strengthened by qualitative data analysis using analysis of interview results. Research findings show that students in the experimental group showed significant improvements in all components of critical thinking and dispositional aspects. The increase in critical thinking skills appears significant in all aspects, namely evaluative, identification and inference. Improvements in the disposition aspect can be seen in the ability to seek the truth, the ability to open one's mind, self-confidence, and maturity in facing problems. In addition, teaching designed to improve high-level thinking skills has intensity in several activities such as always presenting problems in context, open discussions, encouraging students to experiment, being inquiry-oriented, and providing many opportunities to develop critical thinking skills. This research means that students' critical thinking abilities can be improved by designing teaching that integrates several methods that encourage them to think critically. Researchers recommend the need for teacher professional development programs, especially in the use of teaching strategies that encourage higher order thinking skills in the teaching process.","container-title":"International Journal of Learning, Teaching and Educational Research","DOI":"10.26803/ijlter.22.9.19","ISSN":"16942493, 16942116","issue":"9","journalAbbreviation":"IJLTER","language":"en","note":"number: 9","page":"347-364","source":"DOI.org (Crossref)","title":"Role of Teaching Strategies in Promoting Students’ Higher Order Thinking Skills and Critical Thinking Dispositions","volume":"22","author":[{"family":"Arviani","given":"Fitria Puteri"},{"family":"Wahyudin","given":"Dinn"},{"family":"Dewi","given":"Laksmi"}],"issued":{"date-parts":[["2023",9,30]]}}},{"id":782,"uris":["http://zotero.org/users/local/rGxUvxsB/items/7RYYDIUY"],"itemData":{"id":782,"type":"article-journal","abstract":"This article was written as a goal to find out the implementation of collaborative online learning as an effort to increase learning motivation and critical thinking skills at SD Muhammadiyah Surabaya in the era of the industrial revolution 4.0. Therefore, the development of science and technology in the 21st century, various positive and negative impacts are very complex. One of these impacts is felt in the world of education in Indonesia in the current era of conditions like today. The research method used an experiment with a quasi-experimental type. Then a quasi-experiment was carried out because not all influential variables could be tightly controlled. The research subjects were students of Muhammadiyah Elementary School in Surabaya by giving treatment in the form of Collaborative Learning Online learning model. The results showed that the level of high motivation was 35% and the level of very high motivation was 45%, so it can be stated that it was more optimal because high and very high motivation were more dominant than moderate and low. Meanwhile, critical skills were analyzed through pre-test and post-test with five indicators which totaled the pretest (60.2%) in the non-critical category and the total posttest was 87.2 in the very critical category. Based on the output of the Paired Samples Test, the value of sig (2-teiled) is 0.000. It showed that there is a significant difference in students’ knowledge between before the Online Collaborative Learning model was carried out and after the Online Collaborative Learning treatment was carried out. This meant that the provision of learning treatment about the Online Collaborative Learning model can improve students’ critical thinking.","container-title":"International Journal of Education and Social Science Research","DOI":"10.37500/IJESSR.2022.5126","ISSN":"25815148","issue":"01","journalAbbreviation":"IJESSR","language":"en","note":"number: 01","page":"313-333","source":"DOI.org (Crossref)","title":"Collaborative Learning Online Learning Model as an Effort to Improve Learning Motivation and Critical Thinking Skills at Muhammadiyah Elementary Schools of Surabaya in Society Era 5.0","volume":"05","author":[{"family":"Putra","given":"Deni Adi"},{"literal":"Mustaji"},{"family":"Arianto","given":"Fajar"},{"literal":"Asy'ari"}],"issued":{"date-parts":[["2022"]]}}},{"id":849,"uris":["http://zotero.org/users/local/rGxUvxsB/items/MJQCGBH7"],"itemData":{"id":849,"type":"article-journal","abstract":"The integration of science, technology, engineering, and mathematics (STEM) with project-based learning is beneficial in facilitating students to compete effectively in the 21st century, but teachers still encounter obstacles, so in implementation, especially in primary schools, is still rarely done. Therefore, it is necessary to develop STEM project-based learning module to overcome teacher problems. This study aims to collect and analyze teacher perspectives regarding their requirements for the development of STEM project-based learning module. This study was conducted using a design and developmental research (DDR) approach. The first phase included need analysis, carried out through an online questionnaire. The participants consisted of 397 teachers in Cirebon and the results showed that primary school teachers required STEM project-based learning module to facilitate the development of relevant skills in the 21st century, such as scientific literacy and critical thinking. Based on the data collected, the most difficult topic and the topic with the highest forms of misconceptions appeared to be human body organ systems, with a percentage value of 21.16% and matter and change, with a percentage at 21.41%. STEM project-based learning module for primary school level can be developed for various topics such as human body organs or matter and changes.","container-title":"International Journal of Evaluation and Research in Education (IJERE)","DOI":"10.11591/ijere.v13i4.28894","ISSN":"2620-5440, 2252-8822","issue":"4","journalAbbreviation":"IJERE","language":"en","license":"http://creativecommons.org/licenses/by-nc/4.0","note":"number: 4","page":"2585","source":"DOI.org (Crossref)","title":"Developing STEM project-based learning module for primary school teachers: a need analysis","title-short":"Developing STEM project-based learning module for primary school teachers","volume":"13","author":[{"family":"Septiadevana","given":"Riski"},{"family":"Abdullah","given":"Norazilawati"}],"issued":{"date-parts":[["2024",8,1]]}}}],"schema":"https://github.com/citation-style-language/schema/raw/master/csl-citation.json"} </w:instrText>
      </w:r>
      <w:r w:rsidR="005655CE" w:rsidRPr="00657435">
        <w:rPr>
          <w:rFonts w:ascii="Garamond" w:hAnsi="Garamond" w:cs="Times New Roman"/>
          <w:sz w:val="26"/>
          <w:szCs w:val="26"/>
        </w:rPr>
        <w:fldChar w:fldCharType="separate"/>
      </w:r>
      <w:r w:rsidR="00D058C8" w:rsidRPr="00657435">
        <w:rPr>
          <w:rFonts w:ascii="Garamond" w:hAnsi="Garamond" w:cs="Times New Roman"/>
          <w:sz w:val="26"/>
          <w:szCs w:val="26"/>
        </w:rPr>
        <w:t xml:space="preserve"> </w:t>
      </w:r>
      <w:r w:rsidR="005655CE" w:rsidRPr="00657435">
        <w:rPr>
          <w:rFonts w:ascii="Garamond" w:hAnsi="Garamond" w:cs="Times New Roman"/>
          <w:sz w:val="26"/>
          <w:szCs w:val="26"/>
        </w:rPr>
        <w:t>Arviani et al., 2023; Putra et al., 2022; Septiadevana &amp; Abdullah, 2024)</w:t>
      </w:r>
      <w:r w:rsidR="005655CE" w:rsidRPr="00657435">
        <w:rPr>
          <w:rFonts w:ascii="Garamond" w:hAnsi="Garamond" w:cs="Times New Roman"/>
          <w:sz w:val="26"/>
          <w:szCs w:val="26"/>
        </w:rPr>
        <w:fldChar w:fldCharType="end"/>
      </w:r>
      <w:r w:rsidR="00A6440C" w:rsidRPr="00657435">
        <w:rPr>
          <w:rFonts w:ascii="Garamond" w:hAnsi="Garamond" w:cs="Times New Roman"/>
          <w:sz w:val="26"/>
          <w:szCs w:val="26"/>
        </w:rPr>
        <w:t xml:space="preserve">. </w:t>
      </w:r>
      <w:r w:rsidRPr="00657435">
        <w:rPr>
          <w:rFonts w:ascii="Garamond" w:hAnsi="Garamond" w:cs="Times New Roman"/>
          <w:sz w:val="26"/>
          <w:szCs w:val="26"/>
        </w:rPr>
        <w:t xml:space="preserve">Moreover, instructional design and learning activities </w:t>
      </w:r>
      <w:r w:rsidR="00A6440C" w:rsidRPr="00657435">
        <w:rPr>
          <w:rFonts w:ascii="Garamond" w:hAnsi="Garamond" w:cs="Times New Roman"/>
          <w:sz w:val="26"/>
          <w:szCs w:val="26"/>
        </w:rPr>
        <w:t>(</w:t>
      </w:r>
      <w:r w:rsidRPr="00657435">
        <w:rPr>
          <w:rFonts w:ascii="Garamond" w:hAnsi="Garamond" w:cs="Times New Roman"/>
          <w:sz w:val="26"/>
          <w:szCs w:val="26"/>
        </w:rPr>
        <w:t>e.g.,</w:t>
      </w:r>
      <w:r w:rsidR="00A6440C"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{"citationID":"5EDaYlap","properties":{"formattedCitation":"(Puger et al., 2024; S\\uc0\\u225{} &amp; Serpa, 2022)","plainCitation":"(Puger et al., 2024; Sá &amp; Serpa, 2022)","dontUpdate":true,"noteIndex":0},"citationItems":[{"id":827,"uris":["http://zotero.org/users/local/rGxUvxsB/items/DHJKG8FQ"],"itemData":{"id":827,"type":"article-journal","abstract":"This research aims to analyze the influence of a metacognitive-based learning model on students’ agile innovation and critical thinking skills in science learning at the elementary school level. The study population consisted of fourth-grade students in elementary schools. The sample was selected using cluster random sampling with an intact group type. Based on the sampling results, the experimental class comprised 32 students, who received pedagogical intervention in the form of metacognitive-based learning implementation, while the control class, with 31 students, was exposed to conventional learning models. A survey questionnaire was employed as a data collection instrument. Data analysis included descriptive and inferential analysis. Based on the analysis of agile innovation data, an F-value of 23.994 was obtained with a significance value of 0.000 (&lt;0.05). From these results, it can be concluded that there is a significant difference in agile innovation between students who experienced metacognitive-based learning and those who did not. The group of students who received metacognitive-based learning showed a higher level of agile innovation than those who did not experience metacognitive-based learning. Additionally, data on critical thinking skills showed an F-value of 20.915 with a significance value of 0.000 (&lt;0.05). In light of these findings, it can be concluded that there is a significant difference in critical thinking skills between students who experienced metacognitive-based learning and those who did not.","container-title":"Jurnal Pendidikan IPA Indonesia","issue":"2","language":"en","note":"number: 2","page":"255-264","source":"Zotero","title":"Metacognition-Based Learning Model: Improving Agile Innovation and Critical Thinking Skills of Students in Science Learning in Elementary Schools","volume":"13","author":[{"family":"Puger","given":"I G N"},{"family":"Deng","given":"J B"},{"family":"Sugiarta","given":"M"},{"family":"Veliz","given":"L"},{"family":"Sudatha","given":"I G W"},{"family":"Sudarma","given":"I K"}],"issued":{"date-parts":[["2024"]]}}},{"id":823,"uris":["http://zotero.org/users/local/rGxUvxsB/items/DL2PH7E3"],"itemData":{"id":823,"type":"article-journal","abstract":"The growing digitalization that is taking place in most current societies, shaping a super-smart society – such as, for example, the aimed Society 5.0 – raises profound implications in the learning that the higher education context should foster, and which is summarized in the following question: what kind of skills should be taught and how? This perspective paper aims to analyze the centrality of soft skills in this new and unavoidable context, as well as the implications in the learning process. The results of a bibliographical search point toward the fact that, in addition to professional and scientific skills, soft skills are critical for professional and personal success, which implies a profound reformulation of the teaching processes in the overwhelming majority of higher education institutions and their actors. For this challenge to become a reality and for the success of these processes, elements such as digital literacy, sustainability and interculturality are paramount.","container-title":"Journal of Curriculum and Teaching","DOI":"10.5430/jct.v11n4p1","ISSN":"1927-2685, 1927-2677","issue":"4","journalAbbreviation":"JCT","language":"en","license":"http://creativecommons.org/licenses/by/4.0","note":"number: 4","page":"1","source":"DOI.org (Crossref)","title":"Higher Education as a Promoter of Soft Skills in a Sustainable Society 5.0","volume":"11","author":[{"family":"Sá","given":"Maria José"},{"family":"Serpa","given":"Sandro"}],"issued":{"date-parts":[["2022",4,4]]}}}],"schema":"https://github.com/citation-style-language/schema/raw/master/csl-citation.json"} </w:instrText>
      </w:r>
      <w:r w:rsidR="00801DB2" w:rsidRPr="00657435">
        <w:rPr>
          <w:rFonts w:ascii="Garamond" w:hAnsi="Garamond" w:cs="Times New Roman"/>
          <w:sz w:val="26"/>
          <w:szCs w:val="26"/>
        </w:rPr>
        <w:fldChar w:fldCharType="separate"/>
      </w:r>
      <w:r w:rsidR="00801DB2" w:rsidRPr="00657435">
        <w:rPr>
          <w:rFonts w:ascii="Garamond" w:hAnsi="Garamond" w:cs="Times New Roman"/>
          <w:sz w:val="26"/>
          <w:szCs w:val="26"/>
        </w:rPr>
        <w:t>Puger et al., 2024; Sá &amp; Serpa, 2022)</w:t>
      </w:r>
      <w:r w:rsidR="00801DB2" w:rsidRPr="00657435">
        <w:rPr>
          <w:rFonts w:ascii="Garamond" w:hAnsi="Garamond" w:cs="Times New Roman"/>
          <w:sz w:val="26"/>
          <w:szCs w:val="26"/>
        </w:rPr>
        <w:fldChar w:fldCharType="end"/>
      </w:r>
      <w:r w:rsidR="00A6440C" w:rsidRPr="00657435">
        <w:rPr>
          <w:rFonts w:ascii="Garamond" w:hAnsi="Garamond" w:cs="Times New Roman"/>
          <w:sz w:val="26"/>
          <w:szCs w:val="26"/>
        </w:rPr>
        <w:t xml:space="preserve"> </w:t>
      </w:r>
      <w:r w:rsidRPr="00657435">
        <w:rPr>
          <w:rFonts w:ascii="Garamond" w:hAnsi="Garamond" w:cs="Times New Roman"/>
          <w:sz w:val="26"/>
          <w:szCs w:val="26"/>
        </w:rPr>
        <w:t xml:space="preserve">were identified as major antecedents (6 studies), suggesting that meticulously structured learning environments can enhance students' concentration, engagement, and active participation. </w:t>
      </w:r>
    </w:p>
    <w:p w14:paraId="4D9A3317" w14:textId="4C1DF0CC" w:rsidR="00A6440C" w:rsidRPr="00657435" w:rsidRDefault="00986C89"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The enhancement of Higher Order Thinking Skills (HOTS) has been identified as a significant theme in the literature (5 studies), particularly for science education and scientific reasoning</w:t>
      </w:r>
      <w:r w:rsidR="00A6440C" w:rsidRPr="00657435">
        <w:rPr>
          <w:rFonts w:ascii="Garamond" w:hAnsi="Garamond" w:cs="Times New Roman"/>
          <w:sz w:val="26"/>
          <w:szCs w:val="26"/>
        </w:rPr>
        <w:t xml:space="preserve"> (</w:t>
      </w:r>
      <w:r w:rsidRPr="00657435">
        <w:rPr>
          <w:rFonts w:ascii="Garamond" w:hAnsi="Garamond" w:cs="Times New Roman"/>
          <w:sz w:val="26"/>
          <w:szCs w:val="26"/>
        </w:rPr>
        <w:t>e.g.</w:t>
      </w:r>
      <w:r w:rsidR="00A6440C"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{"citationID":"kuLx8yxB","properties":{"formattedCitation":"(Puspita et al., 2023; Sugrah et al., 2023)","plainCitation":"(Puspita et al., 2023; Sugrah et al., 2023)","dontUpdate":true,"noteIndex":0},"citationItems":[{"id":831,"uris":["http://zotero.org/users/local/rGxUvxsB/items/6BZVFRW9"],"itemData":{"id":831,"type":"article-journal","abstract":"This study aims to identify publication trends and recommendations for problem-based science learning research in elementary schools. We used a mixed-methods research design in which descriptive, qualitative, and bibliometric analyses were used to look at the data. We selected the sample by using the purposive sampling technique. Secondary data contains Sintaindexed research articles published in the Google Scholar database. Data were analyzed using content analysis and the VOS-Viewer. The results of the analysis show that between 2017 and 2021, 98 articles have been published with the keywords [problem-based learning] and [IPA or science learning] in national and international journals with research settings in Indonesia. Most publications occurred in 2020. The keywords that appear the most in the published articles obtained are [problem-based learning], [learning outcomes], [critical thinking skills], and [science learning]. The keyword [Tri Hita Karana], or three causes of well-being, appears, but with weak nodes. These keywords appear in many publications whose research settings are in Bali because they are ethnoscientific findings from that area. Weak nodes have several conjectures, namely that this theme has been researched to saturate or that research on this theme is still rarely carried out. This research contributes ideas for future research involving the theme of problem-based learning in science.","container-title":"Journal of Education and Learning (EduLearn)","DOI":"10.11591/edulearn.v17i2.20856","ISSN":"2302-9277, 2089-9823","issue":"2","journalAbbreviation":"EduLearn","language":"en","license":"http://creativecommons.org/licenses/by/4.0","note":"number: 2","page":"285-293","source":"DOI.org (Crossref)","title":"Problem-based science learning in elementary schools: A bibliometric analysis","title-short":"Problem-based science learning in elementary schools","volume":"17","author":[{"family":"Puspita","given":"Anenggar Dewi"},{"family":"Maryani","given":"Ika"},{"family":"Sukma","given":"Hanum Hanifa"}],"issued":{"date-parts":[["2023",5,1]]}}},{"id":832,"uris":["http://zotero.org/users/local/rGxUvxsB/items/6Q3M4TR6"],"itemData":{"id":832,"type":"article-journal","abstract":"Science and technology are developing rapidly, causing changes in teaching modes based on different needs and situations. This study aims to determine the effect of the flipped classroom model, integrated with the socio-scientific issues (FCM-SSI) on critical thinking skills and scientific attitudes of junior high school students on additive and addictive substances and to determine the differences in each aspect of critical thinking skills and scientific attitudes after intervention with FCM-SSI. Through quasi-experimental research with a pretest-posttest design, 182 students participated as samples. The experimental group had 91 students exposed to the FCM-SSI, and the control group had 91 students with traditional learning. For data collection, critical thinking skills test with essay questions and a scientific attitude test using a scientific attitude scale were used. Data were analyzed using MANOVA to see the effects of the learning model and ANOVA to see differences in each aspect. The statistical analysis results with a value of sig 0.000 ≤ 0.05 indicate that FCM-SSI affects students' critical thinking skills and scientific attitudes. The most influential aspect of critical thinking skills is the analytical aspect, and openness is the most influential aspect of scientific attitude. Thus, the FCM-SSI model is highly recommended to be used in science learning because it can improve students' critical thinking skills and scientific attitudes.","container-title":"LUMAT: International Journal on Math, Science and Technology Education","DOI":"10.31129/LUMAT.11.1.1856","ISSN":"2323-7112","issue":"1","journalAbbreviation":"LUMAT","language":"en","license":"https://creativecommons.org/licenses/by/4.0","note":"number: 1","source":"DOI.org (Crossref)","title":"Promoting students’ critical thinking and scientific attitudes through socio-scientific issues-based flipped classroom","URL":"https://journals.helsinki.fi/lumat/article/view/1856","volume":"11","author":[{"family":"Sugrah","given":"Nurfatimah"},{"literal":"Suyanta"},{"family":"Wiyarsi","given":"Antuni"}],"accessed":{"date-parts":[["2025",5,31]]},"issued":{"date-parts":[["2023",9,6]]}}}],"schema":"https://github.com/citation-style-language/schema/raw/master/csl-citation.json"} </w:instrText>
      </w:r>
      <w:r w:rsidR="00801DB2" w:rsidRPr="00657435">
        <w:rPr>
          <w:rFonts w:ascii="Garamond" w:hAnsi="Garamond" w:cs="Times New Roman"/>
          <w:sz w:val="26"/>
          <w:szCs w:val="26"/>
        </w:rPr>
        <w:fldChar w:fldCharType="separate"/>
      </w:r>
      <w:r w:rsidR="00801DB2" w:rsidRPr="00657435">
        <w:rPr>
          <w:rFonts w:ascii="Garamond" w:hAnsi="Garamond" w:cs="Times New Roman"/>
          <w:sz w:val="26"/>
          <w:szCs w:val="26"/>
        </w:rPr>
        <w:t>Puspita et al., 2023; Sugrah et al., 2023)</w:t>
      </w:r>
      <w:r w:rsidR="00801DB2" w:rsidRPr="00657435">
        <w:rPr>
          <w:rFonts w:ascii="Garamond" w:hAnsi="Garamond" w:cs="Times New Roman"/>
          <w:sz w:val="26"/>
          <w:szCs w:val="26"/>
        </w:rPr>
        <w:fldChar w:fldCharType="end"/>
      </w:r>
      <w:r w:rsidR="00A6440C" w:rsidRPr="00657435">
        <w:rPr>
          <w:rFonts w:ascii="Garamond" w:hAnsi="Garamond" w:cs="Times New Roman"/>
          <w:sz w:val="26"/>
          <w:szCs w:val="26"/>
        </w:rPr>
        <w:t xml:space="preserve">. </w:t>
      </w:r>
      <w:r w:rsidRPr="00657435">
        <w:rPr>
          <w:rFonts w:ascii="Garamond" w:hAnsi="Garamond" w:cs="Times New Roman"/>
          <w:sz w:val="26"/>
          <w:szCs w:val="26"/>
        </w:rPr>
        <w:t xml:space="preserve">Additional elements, including the use of digital learning media </w:t>
      </w:r>
      <w:r w:rsidR="00A6440C" w:rsidRPr="00657435">
        <w:rPr>
          <w:rFonts w:ascii="Garamond" w:hAnsi="Garamond" w:cs="Times New Roman"/>
          <w:sz w:val="26"/>
          <w:szCs w:val="26"/>
        </w:rPr>
        <w:t>(</w:t>
      </w:r>
      <w:r w:rsidRPr="00657435">
        <w:rPr>
          <w:rFonts w:ascii="Garamond" w:hAnsi="Garamond" w:cs="Times New Roman"/>
          <w:sz w:val="26"/>
          <w:szCs w:val="26"/>
        </w:rPr>
        <w:t>e.g.</w:t>
      </w:r>
      <w:r w:rsidR="00A6440C"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{"citationID":"9NulUrpQ","properties":{"formattedCitation":"(Akihary et al., 2023; Restrepo-Carmona et al., 2024)","plainCitation":"(Akihary et al., 2023; Restrepo-Carmona et al., 2024)","dontUpdate":true,"noteIndex":0},"citationItems":[{"id":844,"uris":["http://zotero.org/users/local/rGxUvxsB/items/GHS2ATUY"],"itemData":{"id":844,"type":"article-journal","abstract":"The quality improvement of human resources in the society 5.0 era in the 21st century is closely related to technology, and one of the ways this can be achieved is by using YouTube. Therefore, this research determined the differences in student cognitive learning outcomes and critical thinking before and after applying the YouTube-assisted discovery model in German Language Education Study Program at Pattimura University, Indonesia. A pseudo-experiment a pretest and posttest unequal control group design was used to obtain 20 2nd semester students who took the course Strukturen und Wortschatz zur Aufbaustufe A2.1. Furthermore, the sample determination used a proportional sampling technique. Data collection was done using the instrument in the form of essays tests to determine the cognitive learning and critical thinking outcomes, questionnaire sheets, and interviews. The paired T-test showed a value of p=0.000&lt;α=0.05, indicating significant differences in cognitive learning outcomes and critical thinking skills before and after applying the YouTube-assisted discovery learning model. This was confirmed by an increase in the cognitive test scores and critical thinking of students after applying the learning model. Therefore, the results can be applied to other concepts in German language learning.","container-title":"Journal of Education and Learning (EduLearn)","DOI":"10.11591/edulearn.v17i4.20851","ISSN":"2302-9277, 2089-9823","issue":"4","journalAbbreviation":"EduLearn","language":"en","license":"http://creativecommons.org/licenses/by/4.0","note":"number: 4","page":"548-554","source":"DOI.org (Crossref)","title":"The YouTube-assisted discovery learning model: Improving students’ cognitive learning outcomes and critical thinking","title-short":"The YouTube-assisted discovery learning model","volume":"17","author":[{"family":"Akihary","given":"Wilma"},{"family":"Maruanaya","given":"Rita Fransina"},{"family":"Lestuny","given":"Carolina"},{"family":"Maruanaya","given":"Seplinovye Penina"}],"issued":{"date-parts":[["2023",11,1]]}}},{"id":836,"uris":["http://zotero.org/users/local/rGxUvxsB/items/D37AT9JK"],"itemData":{"id":836,"type":"article-journal","abstract":"The overarching vision of Society 5.0 seeks to integrate technology to enhance quality of life and address social issues, with the primary goal of creating human-centered communities, which nowadays represent the inhabitants of smart cities. In this context, this work addresses the design of a modular strategic platform for the smart supervision of public expenditure, to be used by the Directorate of Information, Analysis, and Immediate Reaction (DIARI) of the General Comptroller of the Republic (CGR) of Colombia as a significant contribution towards the country’s transition into Society 5.0. The design was performed by conducting a detailed literature review on fiscal control; performing a comprehensive analysis of the legal, organizational, and technological aspects of the country and the CGR; and developing six functional modules focused on topics such as continuous learning, strategic decision making, distinctive value, strategic achievements, capacity building, and organization, within a three-year implementation plan, through a participatory approach. This plan aims to integrate the platform to enable real-time monitoring, early detection of irregularities, and increased transparency in the management of data and public resources; since the start of the operation of the strategic platform in 2024, the DIARI increased the number of alerts generated by 29% over a three-month period with respect to the year 2023. The strategic platform for the DIARI of the CGR is useful for smart cities and the transition into Society 5.0 since it ensures efficient public expenditure management, enhancing transparency and citizen empowerment through modern technologies, data analytics, and active participation in governance processes.","container-title":"Urban Science","DOI":"10.3390/urbansci8030117","ISSN":"2413-8851","issue":"3","journalAbbreviation":"Urban Science","language":"en","license":"https://creativecommons.org/licenses/by/4.0/","note":"number: 3","page":"117","source":"DOI.org (Crossref)","title":"The Design of a Strategic Platform for the Smart Supervision of Public Expenditure for Colombia in the Context of Society 5.0","volume":"8","author":[{"family":"Restrepo-Carmona","given":"Jaime A."},{"family":"Zuluaga","given":"Juan C."},{"family":"Flórez","given":"Diego A."},{"family":"Gómez","given":"Mario S."},{"family":"Londoño","given":"Laura"},{"family":"Gómez","given":"Gabriela"},{"family":"Villamil","given":"Rosse M."},{"family":"Morales","given":"Olguer"},{"family":"Hurtado","given":"Ángela M."},{"family":"Escobar","given":"Carlos A."},{"family":"Sierra-Pérez","given":"Julián"},{"family":"Vásquez","given":"Rafael E."}],"issued":{"date-parts":[["2024",8,16]]}}}],"schema":"https://github.com/citation-style-language/schema/raw/master/csl-citation.json"} </w:instrText>
      </w:r>
      <w:r w:rsidR="00801DB2" w:rsidRPr="00657435">
        <w:rPr>
          <w:rFonts w:ascii="Garamond" w:hAnsi="Garamond" w:cs="Times New Roman"/>
          <w:sz w:val="26"/>
          <w:szCs w:val="26"/>
        </w:rPr>
        <w:fldChar w:fldCharType="separate"/>
      </w:r>
      <w:r w:rsidR="00801DB2" w:rsidRPr="00657435">
        <w:rPr>
          <w:rFonts w:ascii="Garamond" w:hAnsi="Garamond" w:cs="Times New Roman"/>
          <w:sz w:val="26"/>
          <w:szCs w:val="26"/>
        </w:rPr>
        <w:t>Akihary et al., 2023; Restrepo-Carmona et al., 2024)</w:t>
      </w:r>
      <w:r w:rsidR="00801DB2" w:rsidRPr="00657435">
        <w:rPr>
          <w:rFonts w:ascii="Garamond" w:hAnsi="Garamond" w:cs="Times New Roman"/>
          <w:sz w:val="26"/>
          <w:szCs w:val="26"/>
        </w:rPr>
        <w:fldChar w:fldCharType="end"/>
      </w:r>
      <w:r w:rsidR="00A6440C" w:rsidRPr="00657435">
        <w:rPr>
          <w:rFonts w:ascii="Garamond" w:hAnsi="Garamond" w:cs="Times New Roman"/>
          <w:sz w:val="26"/>
          <w:szCs w:val="26"/>
        </w:rPr>
        <w:t xml:space="preserve"> </w:t>
      </w:r>
      <w:r w:rsidRPr="00657435">
        <w:rPr>
          <w:rFonts w:ascii="Garamond" w:hAnsi="Garamond" w:cs="Times New Roman"/>
          <w:sz w:val="26"/>
          <w:szCs w:val="26"/>
        </w:rPr>
        <w:t>and interactive visual techniques, offer substantial assistance in fostering visual and multisensory engagement. Ultimately, student activities encompassing discussions, experiments, and collaborative projects continuously prove to be essential components in fostering dynamic and pertinent learning experiences for the 21st century</w:t>
      </w:r>
      <w:r w:rsidR="00A6440C" w:rsidRPr="00657435">
        <w:rPr>
          <w:rFonts w:ascii="Garamond" w:hAnsi="Garamond" w:cs="Times New Roman"/>
          <w:sz w:val="26"/>
          <w:szCs w:val="26"/>
        </w:rPr>
        <w:t>.</w:t>
      </w:r>
    </w:p>
    <w:p w14:paraId="76410EB6" w14:textId="38DE4325" w:rsidR="00A416DD" w:rsidRPr="00657435" w:rsidRDefault="00A416DD"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proofErr w:type="spellStart"/>
      <w:r w:rsidRPr="00657435">
        <w:rPr>
          <w:rFonts w:ascii="Garamond" w:hAnsi="Garamond" w:cs="Times New Roman"/>
          <w:i/>
          <w:iCs/>
          <w:sz w:val="26"/>
          <w:szCs w:val="26"/>
        </w:rPr>
        <w:t>schoool</w:t>
      </w:r>
      <w:proofErr w:type="spellEnd"/>
      <w:r w:rsidRPr="00657435">
        <w:rPr>
          <w:rFonts w:ascii="Garamond" w:hAnsi="Garamond" w:cs="Times New Roman"/>
          <w:i/>
          <w:iCs/>
          <w:sz w:val="26"/>
          <w:szCs w:val="26"/>
        </w:rPr>
        <w:t xml:space="preserve"> and system</w:t>
      </w:r>
    </w:p>
    <w:p w14:paraId="577EDB9C" w14:textId="3238FD6F" w:rsidR="00FD39F1" w:rsidRPr="00657435" w:rsidRDefault="00986C89"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 xml:space="preserve">This category encompasses structural, cultural, and institutional support components at the school level that are essential for fostering student learning engagement (4 studies). The predominant theme examined was curriculum integration with STEM methodologies (3 studies), emphasising the necessity for coherence between curriculum frameworks and 21st-century educational practices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F3540F" w:rsidRPr="00657435">
        <w:rPr>
          <w:rFonts w:ascii="Garamond" w:hAnsi="Garamond" w:cs="Times New Roman"/>
          <w:sz w:val="26"/>
          <w:szCs w:val="26"/>
        </w:rPr>
        <w:instrText xml:space="preserve"> ADDIN ZOTERO_ITEM CSL_CITATION {"citationID":"684AFmbt","properties":{"formattedCitation":"(Angganing et al., 2023; Olariu et al., 2024b)","plainCitation":"(Angganing et al., 2023; Olariu et al., 2024b)","dontUpdate":true,"noteIndex":0},"citationItems":[{"id":841,"uris":["http://zotero.org/users/local/rGxUvxsB/items/U7PB5T5F"],"itemData":{"id":841,"type":"article-journal","abstract":"Communication skills are crucial in 21st century education since they encourage other skills, such as speaking skills, critical thinking, and creative thinking. Communication skills are a means to create, maintain, and expand knowledge in science learning. This study explores the profile of students’ communication skills in science learning in elementary schools. A qualitative approach was employed. The subjects were 100 public elementary school students in Central Java, Indonesia. Data collection techniques were observation and interviews with students attending science learning classes. The data were analyzed using interaction analysis consisting of data reduction, data presentation, and drawing conclusions. The result revealed that students’ communication skills in science learning were poor, with an average score of 1.96 or 49.02%. Answering the question was the indicator frequently found. It had an average score of 2.3 or 57.60%. Meanwhile, the indicator hardly found was asking the question since the average score was 1.64 or 40.93%. Considering the results, the teachers need to apply various materials or an innovative learning model to improve students’ communication skills in science learning.","container-title":"Pegem Journal of Education and Instruction","DOI":"10.47750/pegegog.13.01.14","issue":"1","journalAbbreviation":"pegegog","language":"en","note":"number: 1","source":"DOI.org (Crossref)","title":"The profile of students’ communication skills on science Learning in elementary schools","URL":"https://www.pegegog.net/index.php/pegegog/article/view/1979/607","volume":"13","author":[{"family":"Angganing","given":"Paradika"},{"family":"Budiningsih","given":"C. Asri"},{"literal":"Haryanto"}],"accessed":{"date-parts":[["2025",5,31]]},"issued":{"date-parts":[["2023",1,1]]}}},{"id":845,"uris":["http://zotero.org/users/local/rGxUvxsB/items/VSM47BUH"],"itemData":{"id":845,"type":"article-journal","abstract":"Our paper was inspired by the recent Society 5.0 initiative of the Japanese Government which seeks to create a sustainable human-centric society by putting to work recent advances in technology. One of the key challenges in implementing Society 5.0 is providing trusted and secure services for everyone to use. Motivated by this challenge, this paper makes three contributions that we summarize as follows: Our first main contribution is to propose a novel blockchain and smart contract-based trust and reputation service design to reduce the uncertainty associated with buyer feedback in marketplaces that we expect to see in Society 5.0. Our second contribution is to extend Laplace’s Law of Succession in a way that provides a trust measure in a seller’s future performance in terms of their past reputation scores. Our third main contribution is to illustrate three applications of the proposed trust and reputation service. Here, we begin by discussing an application to a multisegment marketplace, where a malicious seller may establish a stellar reputation by selling cheap items, only to use their excellent reputation score to defraud buyers in a different market segment. Next, we demonstrate how our trust and reputation service works in the context of sellers with time-varying performance due, say, to overcoming an initial learning curve. We provide a discounting scheme where older reputation scores are given less weight than more recent ones. Finally, we show how to predict trust and reputation far in the future, based on incomplete information. Extensive simulations have confirmed the accuracy of our analytical predictions.","container-title":"Smart Cities","DOI":"10.3390/smartcities7050103","ISSN":"2624-6511","issue":"5","journalAbbreviation":"Smart Cities","language":"en","license":"https://creativecommons.org/licenses/by/4.0/","note":"number: 5","page":"2645-2669","source":"DOI.org (Crossref)","title":"Towards Trust and Reputation as a Service in Society 5.0","volume":"7","author":[{"family":"Olariu","given":"Stephan"},{"family":"Mukkamala","given":"Ravi"},{"family":"Aljohani","given":"Meshari"}],"issued":{"date-parts":[["2024",9,13]]}}}],"schema":"https://github.com/citation-style-language/schema/raw/master/csl-citation.json"} </w:instrText>
      </w:r>
      <w:r w:rsidR="00801DB2" w:rsidRPr="00657435">
        <w:rPr>
          <w:rFonts w:ascii="Garamond" w:hAnsi="Garamond" w:cs="Times New Roman"/>
          <w:sz w:val="26"/>
          <w:szCs w:val="26"/>
        </w:rPr>
        <w:fldChar w:fldCharType="separate"/>
      </w:r>
      <w:r w:rsidR="00F3540F" w:rsidRPr="00657435">
        <w:rPr>
          <w:rFonts w:ascii="Garamond" w:hAnsi="Garamond" w:cs="Times New Roman"/>
          <w:sz w:val="26"/>
          <w:szCs w:val="26"/>
        </w:rPr>
        <w:t>Angganing et al., 2023; Olariu et al., 2024)</w:t>
      </w:r>
      <w:r w:rsidR="00801DB2"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00FD39F1" w:rsidRPr="00657435">
        <w:rPr>
          <w:rFonts w:ascii="Garamond" w:hAnsi="Garamond" w:cs="Times New Roman"/>
          <w:sz w:val="26"/>
          <w:szCs w:val="26"/>
        </w:rPr>
        <w:t>The study by</w:t>
      </w:r>
      <w:r w:rsidR="008D1922"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{"citationID":"2jnCWpRp","properties":{"formattedCitation":"(G\\uc0\\u243{}mez &amp; Su\\uc0\\u225{}rez, 2020)","plainCitation":"(Gómez &amp; Suárez, 2020)","dontUpdate":true,"noteIndex":0},"citationItems":[{"id":817,"uris":["http://zotero.org/users/local/rGxUvxsB/items/9KYFVLWC"],"itemData":{"id":817,"type":"article-journal","abstract":"Background: Inquiry-based teaching (IBT) and improving school climate are the two most commonly used strategies for fostering learning and critical thinking skills in students. IBT has positioned itself as one of the most recommended “active” methodologies for developing intellectual autonomy and complex thought processes, whereas school climate is considered to be a protective factor that helps mitigate adverse conditions and has a positive impact on teaching and learning. This study investigates the relationship between IBT and school climate with the academic performance of Colombian students in the PISA 2015 test.\nResults: Using a two-level Hierarchical Linear Modeling (HLM), the results show a negative association between IBT and students’ scientific performance in the test. However, results show a positive association between IBT and students’ self-reported critical thinking skills. Results also show that school climate is a positive moderating factor on learning. Contextual factors such as the student’s grade level at the time of sitting for the PISA test, gender, and socioeconomic characteristics are strong predictors of science achievement in PISA.\nConclusions: These results reveal the need for additional research on the effect of the so-called active methodologies and school context on student learning. Regarding IBT, it seems that its influence is greater on student’s perception and motivation, than in acquisition of scientific knowledge. Positive school climate is a protective factor that can help to improve student learning. In Colombia, the quality of students’ educational outcomes has largely been attributed to their socioeconomic background. However, the results of this study show that, although students’ and schools’ socioeconomic characteristics continue to be strong predictors of academic performance, teaching practices can have an even larger impact.","container-title":"International Journal of STEM Education","DOI":"10.1186/s40594-020-00240-5","ISSN":"2196-7822","issue":"1","journalAbbreviation":"IJ STEM Ed","language":"en","note":"number: 1","page":"43","source":"DOI.org (Crossref)","title":"Do inquiry-based teaching and school climate influence science achievement and critical thinking? Evidence from PISA 2015","title-short":"Do inquiry-based teaching and school climate influence science achievement and critical thinking?","volume":"7","author":[{"family":"Gómez","given":"Ricardo L."},{"family":"Suárez","given":"Ana María"}],"issued":{"date-parts":[["2020",12]]}}}],"schema":"https://github.com/citation-style-language/schema/raw/master/csl-citation.json"} </w:instrText>
      </w:r>
      <w:r w:rsidR="00801DB2" w:rsidRPr="00657435">
        <w:rPr>
          <w:rFonts w:ascii="Garamond" w:hAnsi="Garamond" w:cs="Times New Roman"/>
          <w:sz w:val="26"/>
          <w:szCs w:val="26"/>
        </w:rPr>
        <w:fldChar w:fldCharType="separate"/>
      </w:r>
      <w:r w:rsidR="00801DB2" w:rsidRPr="00657435">
        <w:rPr>
          <w:rFonts w:ascii="Garamond" w:hAnsi="Garamond" w:cs="Times New Roman"/>
          <w:sz w:val="26"/>
          <w:szCs w:val="26"/>
        </w:rPr>
        <w:t>Gómez &amp; Suárez (2020)</w:t>
      </w:r>
      <w:r w:rsidR="00801DB2"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00FD39F1" w:rsidRPr="00657435">
        <w:rPr>
          <w:rFonts w:ascii="Garamond" w:hAnsi="Garamond" w:cs="Times New Roman"/>
          <w:sz w:val="26"/>
          <w:szCs w:val="26"/>
        </w:rPr>
        <w:t>demonstrates support for curriculum-based innovation through its examination of school-based interventions in elementary education. Moreover, structural constraints, including infrastructure and the preparedness of educational resources, have surfaced as impediments</w:t>
      </w:r>
      <w:r w:rsidR="008D1922"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{"citationID":"AC1kvQ6i","properties":{"formattedCitation":"(Chistyakov et al., 2023)","plainCitation":"(Chistyakov et al., 2023)","noteIndex":0},"citationItems":[{"id":821,"uris":["http://zotero.org/users/local/rGxUvxsB/items/7939F2VD"],"itemData":{"id":821,"type":"article-journal","abstract":"The purpose of this article is to determine project-based learning (PjBL) from the characteristics, effectiveness and implementation aspects of science and science, technology, engineering, art and mathematics (STEAM) education. Eric database was used in order to investigate key words. Thus, this mini review reviewed 36 articles on PjBL for science and STEAM education based on the available Eric database reference. The data obtained were analyzed using content analysis methods. The results showed that on average PjBL can be categorized as a learning model that can improve student learning outcomes in science learning and train students in problem solving (critical thinking). The review reveals that PjBL has an influence on student learning, especially in science and STEAM education. From this article, it can be concluded and can be recommended three recommendations related to the essential success of PjBL in schools.","container-title":"Eurasia Journal of Mathematics, Science and Technology Education","DOI":"10.29333/ejmste/13128","ISSN":"1305-8215, 1305-8223","issue":"5","journalAbbreviation":"EURASIA J Math Sci Tech Ed","language":"en","note":"number: 5","page":"em2256","source":"DOI.org (Crossref)","title":"Exploring the characteristics and effectiveness of project-based learning for science and STEAM education","volume":"19","author":[{"family":"Chistyakov","given":"Alexey A."},{"family":"Zhdanov","given":"Sergei P."},{"family":"Avdeeva","given":"Elena L."},{"family":"Dyadichenko","given":"Elena A."},{"family":"Kunitsyna","given":"Maria L."},{"family":"Yagudina","given":"Roza I."}],"issued":{"date-parts":[["2023",5,1]]}}}],"schema":"https://github.com/citation-style-language/schema/raw/master/csl-citation.json"} </w:instrText>
      </w:r>
      <w:r w:rsidR="00801DB2" w:rsidRPr="00657435">
        <w:rPr>
          <w:rFonts w:ascii="Garamond" w:hAnsi="Garamond" w:cs="Times New Roman"/>
          <w:sz w:val="26"/>
          <w:szCs w:val="26"/>
        </w:rPr>
        <w:fldChar w:fldCharType="separate"/>
      </w:r>
      <w:r w:rsidR="00801DB2" w:rsidRPr="00657435">
        <w:rPr>
          <w:rFonts w:ascii="Garamond" w:hAnsi="Garamond" w:cs="Times New Roman"/>
          <w:sz w:val="26"/>
          <w:szCs w:val="26"/>
        </w:rPr>
        <w:t>(Chistyakov et al., 2023)</w:t>
      </w:r>
      <w:r w:rsidR="00801DB2"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00FD39F1" w:rsidRPr="00657435">
        <w:rPr>
          <w:rFonts w:ascii="Garamond" w:hAnsi="Garamond" w:cs="Times New Roman"/>
          <w:sz w:val="26"/>
          <w:szCs w:val="26"/>
        </w:rPr>
        <w:t>underscoring the necessity of institutional support in establishing a technically and culturally appropriate learning environment. Consequently, systemic elements such technological preparedness in schools, incorporation of local values, and support for new learning models serve as favourable determinants in enhancing student engagement at the educational unit level.</w:t>
      </w:r>
    </w:p>
    <w:p w14:paraId="10493EFD" w14:textId="65022867" w:rsidR="00A416DD" w:rsidRPr="00657435" w:rsidRDefault="00A416DD"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proofErr w:type="spellStart"/>
      <w:r w:rsidRPr="00657435">
        <w:rPr>
          <w:rFonts w:ascii="Garamond" w:hAnsi="Garamond" w:cs="Times New Roman"/>
          <w:i/>
          <w:iCs/>
          <w:sz w:val="26"/>
          <w:szCs w:val="26"/>
        </w:rPr>
        <w:t>pedagogycal</w:t>
      </w:r>
      <w:proofErr w:type="spellEnd"/>
      <w:r w:rsidRPr="00657435">
        <w:rPr>
          <w:rFonts w:ascii="Garamond" w:hAnsi="Garamond" w:cs="Times New Roman"/>
          <w:i/>
          <w:iCs/>
          <w:sz w:val="26"/>
          <w:szCs w:val="26"/>
        </w:rPr>
        <w:t xml:space="preserve"> strategy</w:t>
      </w:r>
    </w:p>
    <w:p w14:paraId="65D17221" w14:textId="1FC22073" w:rsidR="008D1922" w:rsidRPr="00657435" w:rsidRDefault="00FD39F1"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 xml:space="preserve">Pedagogical practices are a primary emphasis in research about student learning engagement (12 studies). The variety of learning strategies is the most extensively researched issue (5 studies), highlighting the significance of instructional methods aimed at fostering critical thinking, problem-solving, and profound reflection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{"citationID":"3Iqxn0zd","properties":{"formattedCitation":"(Prayogi et al., 2023; Saputro et al., 2020)","plainCitation":"(Prayogi et al., 2023; Saputro et al., 2020)","dontUpdate":true,"noteIndex":0},"citationItems":[{"id":818,"uris":["http://zotero.org/users/local/rGxUvxsB/items/9IWV7AMD"],"itemData":{"id":818,"type":"article-journal","abstract":"Inquiry-based learning overcomes the gap between the acquisition of knowledge through discovery though it is not always directly proportional to students' development of critical thinking (CT). Knowledge about the real-world contexts in which children will learn is the first step in cultivating CT in science learning. Science inquiry is most relevant when it is linked to the cultural context and local wisdom in which students are growing and developing. On one hand, the current focus of learning is on digital systems which can also provide opportunities to enhance CT. The current study aims to implement a blend of inquiry-based learning and Ethnoscience on a digital learning platform (e-learning) and assess its effect on the pre-service science teachers’ (PSTs) CT abilities. The study is conducted using an experimental method involving PSTs as participants. Several valid test instruments are employed to measure CT skills and the results are analyzed. According to the study's findings, there have been notable advancements in CT d u e to the digital learning platform's dynamic fusion of Ethnoscience and inquiry. This study demonstrates that the dynamic blend of Ethnoscience and inquiry in a digital lea rning p latform can serve as a cutting-edge learning method for empowering CT particularly in future science teachers.","container-title":"Journal of Education and e-Learning Research","DOI":"10.20448/jeelr.v10i4.5233","ISSN":"2410-9991, 2518-0169","issue":"4","journalAbbreviation":"JEELR","language":"en","note":"number: 4","page":"819-828","source":"DOI.org (Crossref)","title":"Dynamic blend of ethnoscience and inquiry in a digital learning platform (e-learning) for empowering future science educators' critical thinking","volume":"10","author":[{"family":"Prayogi","given":"Saiful"},{"family":"Ahzan","given":"Sukainil"},{"literal":"Indriaturrahmi"},{"family":"Rokhmat","given":"Joni"},{"family":"Verawati","given":"Ni Nyoman Sri Putu"}],"issued":{"date-parts":[["2023",12,15]]}}},{"id":820,"uris":["http://zotero.org/users/local/rGxUvxsB/items/CPKVDM33"],"itemData":{"id":820,"type":"article-journal","abstract":"Self-efficacy and critical thinking represent two vital components for university graduates in the 21st century learning. However, several studies reported that these two important outcome predictors were unsatisfactory. This study aimed at investigating the effects of problem-based learning (PBL) on pre-service teachers’ self-efficacy and critical thinking. A quasiexperimental nonequivalent pretest-posttest control group design was utilized. A total of 44 pre-service elementary school teachers (aged 19-22) at a private university in Indonesia were assigned as experimental (n = 22) and control (n = 22) groups. The experimental group learning received PBL, while the control group learning with traditional college instruction. The Self-Efficacy Scale (SES) and the Critical Thinking Questionnaire (CTQ) were administered before and after the intervention in both groups. Independent and paired samples t-tests were employed to analyze the pretests and posttests data. The results indicated that PBL was more effective in increasing self-efficacy and critical thinking of pre-service elementary teachers than traditional teaching. It is suggested that PBL should be used more frequently in science learning to further enhance students’ self-efficacy and critical thinking skills in higher education.","container-title":"European Journal of Educational Research","DOI":"10.12973/eu-jer.9.2.765","ISSN":"21658714, 21658714","issue":"volume-9-issue-2-april-2020","journalAbbreviation":"EUROPEAN J ED RES","language":"en","note":"number: volume-9-issue-2-april-2020","page":"765-773","source":"DOI.org (Crossref)","title":"Enhancing Pre-Service Elementary Teachers’ Self-Efficacy and Critical Thinking using Problem-Based Learning","volume":"volume-9-2020","author":[{"family":"Saputro","given":"Anip Dwi"},{"family":"Atun","given":"Sri"},{"family":"Wilujeng","given":"Insih"},{"family":"Ariyanto","given":"Ayok"},{"family":"Arifin","given":"Syamsul"}],"issued":{"date-parts":[["2020",4,15]]}}}],"schema":"https://github.com/citation-style-language/schema/raw/master/csl-citation.json"} </w:instrText>
      </w:r>
      <w:r w:rsidR="00801DB2" w:rsidRPr="00657435">
        <w:rPr>
          <w:rFonts w:ascii="Garamond" w:hAnsi="Garamond" w:cs="Times New Roman"/>
          <w:sz w:val="26"/>
          <w:szCs w:val="26"/>
        </w:rPr>
        <w:fldChar w:fldCharType="separate"/>
      </w:r>
      <w:r w:rsidR="00801DB2" w:rsidRPr="00657435">
        <w:rPr>
          <w:rFonts w:ascii="Garamond" w:hAnsi="Garamond" w:cs="Times New Roman"/>
          <w:sz w:val="26"/>
          <w:szCs w:val="26"/>
        </w:rPr>
        <w:t>Prayogi et al., 2023; Saputro et al., 2020)</w:t>
      </w:r>
      <w:r w:rsidR="00801DB2"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Furthermore, the function of educators as facilitators of reflective learning (3 studies) significantly influences engagement, particularly within thematic and argumentative learning contexts</w:t>
      </w:r>
      <w:r w:rsidR="008D1922" w:rsidRPr="00657435">
        <w:rPr>
          <w:rFonts w:ascii="Garamond" w:hAnsi="Garamond" w:cs="Times New Roman"/>
          <w:sz w:val="26"/>
          <w:szCs w:val="26"/>
        </w:rPr>
        <w:t xml:space="preserve"> (</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{"citationID":"a012ZrsC","properties":{"formattedCitation":"(Prayogi et al., 2022; Syawaludin et al., 2019b)","plainCitation":"(Prayogi et al., 2022; Syawaludin et al., 2019b)","dontUpdate":true,"noteIndex":0},"citationItems":[{"id":830,"uris":["http://zotero.org/users/local/rGxUvxsB/items/7WXYXXU2"],"itemData":{"id":830,"type":"article-journal","abstract":"The acquisition of critical thinking (CT) as one of the 21st century skills is categorically crucial. Therefore, the effective training of CT skills in terms of learning activities needs detailed exploration. This study applied the ethno-inquiry model in an e-learning platform and evaluated its impact on the CT skills of preservice science teachers (PSTs). The experimental design employed the randomized pretest-posttest control design involving 62 PSTs as participants, divided equally into an experimental and control group. Participants’ CT skills were assessed using essay tests. The tests focused on the CT skills dealing with analysis, inferencing, evaluation, and decision-making indicators. The CT scores were analyzed using parameters of the average pretest-posttest. The learning implementation effects were calculated using a paired t test and analysis of covariance (ANCOVA) at the significance level of .05. The findings demonstrated that the CT scores for the experimental group increased from the less critical to the critical level. This result was better than that of the control group. Similarly, the improvement of individual CT performance was better in the experimental group. Based on the results of the analysis, the t test and ANCOVA of both groups confirmed that the ethno-inquiry model had a significant effect on the CT skills of participants. The results thus provide convincing evidence of the essential roles of the ethno-inquiry model in science learning and it is therefore recommended that the model be implemented in science classes.","container-title":"International Journal of Learning, Teaching and Educational Research","DOI":"10.26803/ijlter.21.9.8","ISSN":"16942493, 16942116","issue":"9","journalAbbreviation":"IJLTER","language":"en","note":"number: 9","page":"134-153","source":"DOI.org (Crossref)","title":"Opportunities to Stimulate the Critical Thinking Performance of Preservice Science Teachers Through the Ethno-Inquiry Model in an E Learning Platform","volume":"21","author":[{"family":"Prayogi","given":"Saiful"},{"family":"Ahzan","given":"Sukainil"},{"family":"Indriaturrahmi","given":"Indriaturrahmi"},{"family":"Rokhmat","given":"Joni"}],"issued":{"date-parts":[["2022",9,30]]}}},{"id":816,"uris":["http://zotero.org/users/local/rGxUvxsB/items/D8VE3HW6"],"itemData":{"id":816,"type":"article-journal","abstract":"This study aimed to describe the development of augmented reality-based interactive multimedia to improve the critical thinking skills of elementary school teacher education students in learning earth structure and fisheries material science. This type of research was research and development by Sukmadinata consisting of preliminary studies, model development, and model testing. The research subjects were elementary school teacher education students at Sebelas Maret University, Indonesia. The technique of collecting data used tests, questionnaires, and observations. The collected data was then analyzed qualitatively and quantitatively. Qualitative data analysis used the interactive models of Miles and Huberman and quantitative data analysis using a paired sample t-test. The results of the study show that the development of media products determines indicators of learning, programming, display, and curriculum. The main field test obtained ρvalue = 0.002&lt; 0.05, it can be decided that H0 rejected. Students think critically using augmented reality-based interactive multimedia better than before using it. At present, it is obtained interactive multimedia based on augmented reality that is feasible to use in accordance with the views of experts and users.","container-title":"International Journal of Instruction","DOI":"10.29333/iji.2019.12421a","ISSN":"1694609X, 13081470","issue":"4","journalAbbreviation":"INT J INSTRUCTION","language":"en","note":"number: 4","page":"331-344","source":"DOI.org (Crossref)","title":"Development of Augmented Reality-Based Interactive Multimedia to Improve Critical Thinking Skills in Science Learning","volume":"12","author":[{"family":"Syawaludin","given":"Ahmad"},{"family":"Gunarhadi","given":"Gunarhadi"},{"literal":"Prof., Teacher Training and Education Faculty, Universitas Sebelas Maret, Indonesia, gunarhadi@fkip.uns.ac.id"},{"family":"Rintayati","given":"Peduk"},{"literal":"Dr., Teacher Training and Education Faculty, Universitas Sebelas Maret, Indonesia, pedukrintayati@staff.uns.ac.id"}],"issued":{"date-parts":[["2019",10,1]]}}}],"schema":"https://github.com/citation-style-language/schema/raw/master/csl-citation.json"} </w:instrText>
      </w:r>
      <w:r w:rsidR="00801DB2" w:rsidRPr="00657435">
        <w:rPr>
          <w:rFonts w:ascii="Garamond" w:hAnsi="Garamond" w:cs="Times New Roman"/>
          <w:sz w:val="26"/>
          <w:szCs w:val="26"/>
        </w:rPr>
        <w:fldChar w:fldCharType="separate"/>
      </w:r>
      <w:r w:rsidR="00361898" w:rsidRPr="00657435">
        <w:rPr>
          <w:rFonts w:ascii="Garamond" w:hAnsi="Garamond" w:cs="Times New Roman"/>
          <w:sz w:val="26"/>
          <w:szCs w:val="26"/>
        </w:rPr>
        <w:t>Prayogi et al., 2022; Syawaludin et al., 2019)</w:t>
      </w:r>
      <w:r w:rsidR="00801DB2" w:rsidRPr="00657435">
        <w:rPr>
          <w:rFonts w:ascii="Garamond" w:hAnsi="Garamond" w:cs="Times New Roman"/>
          <w:sz w:val="26"/>
          <w:szCs w:val="26"/>
        </w:rPr>
        <w:fldChar w:fldCharType="end"/>
      </w:r>
      <w:r w:rsidR="008D1922" w:rsidRPr="00657435">
        <w:rPr>
          <w:rFonts w:ascii="Garamond" w:hAnsi="Garamond" w:cs="Times New Roman"/>
          <w:sz w:val="26"/>
          <w:szCs w:val="26"/>
        </w:rPr>
        <w:t>.</w:t>
      </w:r>
    </w:p>
    <w:p w14:paraId="0188527F" w14:textId="0EF4D79B" w:rsidR="008D1922" w:rsidRPr="00657435" w:rsidRDefault="00FD39F1" w:rsidP="00657435">
      <w:pPr>
        <w:pStyle w:val="ListParagraph"/>
        <w:tabs>
          <w:tab w:val="left" w:pos="142"/>
          <w:tab w:val="left" w:pos="284"/>
          <w:tab w:val="left" w:pos="426"/>
          <w:tab w:val="left" w:pos="1088"/>
        </w:tabs>
        <w:spacing w:after="0" w:line="240" w:lineRule="auto"/>
        <w:ind w:left="0"/>
        <w:jc w:val="both"/>
        <w:rPr>
          <w:rFonts w:ascii="Garamond" w:hAnsi="Garamond" w:cs="Times New Roman"/>
          <w:sz w:val="26"/>
          <w:szCs w:val="26"/>
        </w:rPr>
      </w:pPr>
      <w:r w:rsidRPr="00657435">
        <w:rPr>
          <w:rFonts w:ascii="Garamond" w:hAnsi="Garamond" w:cs="Times New Roman"/>
          <w:sz w:val="26"/>
          <w:szCs w:val="26"/>
        </w:rPr>
        <w:lastRenderedPageBreak/>
        <w:t>Values-based and role-</w:t>
      </w:r>
      <w:proofErr w:type="spellStart"/>
      <w:r w:rsidRPr="00657435">
        <w:rPr>
          <w:rFonts w:ascii="Garamond" w:hAnsi="Garamond" w:cs="Times New Roman"/>
          <w:sz w:val="26"/>
          <w:szCs w:val="26"/>
        </w:rPr>
        <w:t>modeling</w:t>
      </w:r>
      <w:proofErr w:type="spellEnd"/>
      <w:r w:rsidRPr="00657435">
        <w:rPr>
          <w:rFonts w:ascii="Garamond" w:hAnsi="Garamond" w:cs="Times New Roman"/>
          <w:sz w:val="26"/>
          <w:szCs w:val="26"/>
        </w:rPr>
        <w:t xml:space="preserve"> methodologies were identified in two research, wherein the reinforcement of contextual values and the incorporation of </w:t>
      </w:r>
      <w:proofErr w:type="spellStart"/>
      <w:r w:rsidRPr="00657435">
        <w:rPr>
          <w:rFonts w:ascii="Garamond" w:hAnsi="Garamond" w:cs="Times New Roman"/>
          <w:sz w:val="26"/>
          <w:szCs w:val="26"/>
        </w:rPr>
        <w:t>ethnopedagogy</w:t>
      </w:r>
      <w:proofErr w:type="spellEnd"/>
      <w:r w:rsidRPr="00657435">
        <w:rPr>
          <w:rFonts w:ascii="Garamond" w:hAnsi="Garamond" w:cs="Times New Roman"/>
          <w:sz w:val="26"/>
          <w:szCs w:val="26"/>
        </w:rPr>
        <w:t xml:space="preserve"> were employed to foster holistic student participation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801DB2"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{"citationID":"mYigVlfs","properties":{"formattedCitation":"(Putra et al., 2022b)","plainCitation":"(Putra et al., 2022b)","dontUpdate":true,"noteIndex":0},"citationItems":[{"id":782,"uris":["http://zotero.org/users/local/rGxUvxsB/items/7RYYDIUY"],"itemData":{"id":782,"type":"article-journal","abstract":"This article was written as a goal to find out the implementation of collaborative online learning as an effort to increase learning motivation and critical thinking skills at SD Muhammadiyah Surabaya in the era of the industrial revolution 4.0. Therefore, the development of science and technology in the 21st century, various positive and negative impacts are very complex. One of these impacts is felt in the world of education in Indonesia in the current era of conditions like today. The research method used an experiment with a quasi-experimental type. Then a quasi-experiment was carried out because not all influential variables could be tightly controlled. The research subjects were students of Muhammadiyah Elementary School in Surabaya by giving treatment in the form of Collaborative Learning Online learning model. The results showed that the level of high motivation was 35% and the level of very high motivation was 45%, so it can be stated that it was more optimal because high and very high motivation were more dominant than moderate and low. Meanwhile, critical skills were analyzed through pre-test and post-test with five indicators which totaled the pretest (60.2%) in the non-critical category and the total posttest was 87.2 in the very critical category. Based on the output of the Paired Samples Test, the value of sig (2-teiled) is 0.000. It showed that there is a significant difference in students’ knowledge between before the Online Collaborative Learning model was carried out and after the Online Collaborative Learning treatment was carried out. This meant that the provision of learning treatment about the Online Collaborative Learning model can improve students’ critical thinking.","container-title":"International Journal of Education and Social Science Research","DOI":"10.37500/IJESSR.2022.5126","ISSN":"25815148","issue":"01","journalAbbreviation":"IJESSR","language":"en","note":"number: 01","page":"313-333","source":"DOI.org (Crossref)","title":"Collaborative Learning Online Learning Model as an Effort to Improve Learning Motivation and Critical Thinking Skills at Muhammadiyah Elementary Schools of Surabaya in Society Era 5.0","volume":"05","author":[{"family":"Putra","given":"Deni Adi"},{"literal":"Mustaji"},{"family":"Arianto","given":"Fajar"},{"literal":"Asy'ari"}],"issued":{"date-parts":[["2022"]]}}}],"schema":"https://github.com/citation-style-language/schema/raw/master/csl-citation.json"} </w:instrText>
      </w:r>
      <w:r w:rsidR="00801DB2" w:rsidRPr="00657435">
        <w:rPr>
          <w:rFonts w:ascii="Garamond" w:hAnsi="Garamond" w:cs="Times New Roman"/>
          <w:sz w:val="26"/>
          <w:szCs w:val="26"/>
        </w:rPr>
        <w:fldChar w:fldCharType="separate"/>
      </w:r>
      <w:r w:rsidR="00801DB2" w:rsidRPr="00657435">
        <w:rPr>
          <w:rFonts w:ascii="Garamond" w:hAnsi="Garamond" w:cs="Times New Roman"/>
          <w:sz w:val="26"/>
          <w:szCs w:val="26"/>
        </w:rPr>
        <w:t>Putra et al., 2022)</w:t>
      </w:r>
      <w:r w:rsidR="00801DB2"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Simultaneously, metacognition and ethnoscience (two studies) were recognised as viable methodologies for fostering deeper learning awareness and reflective comprehension, although their use has not been thoroughly incorporated into pedagogical methods</w:t>
      </w:r>
      <w:r w:rsidR="008D1922" w:rsidRPr="00657435">
        <w:rPr>
          <w:rFonts w:ascii="Garamond" w:hAnsi="Garamond" w:cs="Times New Roman"/>
          <w:sz w:val="26"/>
          <w:szCs w:val="26"/>
        </w:rPr>
        <w:t>.</w:t>
      </w:r>
    </w:p>
    <w:p w14:paraId="61D408DC" w14:textId="1E64D3B0" w:rsidR="00A416DD" w:rsidRPr="00657435" w:rsidRDefault="00A416DD"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societal factors</w:t>
      </w:r>
    </w:p>
    <w:p w14:paraId="01CDF64A" w14:textId="014BCC84" w:rsidR="008D1922" w:rsidRPr="00657435" w:rsidRDefault="005D6637"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 xml:space="preserve">Social environmental factors encompass external situations that individuals and institutions cannot control, yet they substantially affect student participation in the learning process (7 studies). The predominant theme is the global setting of Society 5.0 (3 studies), highlighting social transformation resulting from technological disruption and the necessity of aligning </w:t>
      </w:r>
      <w:r w:rsidR="00EE6102" w:rsidRPr="00657435">
        <w:rPr>
          <w:rFonts w:ascii="Garamond" w:eastAsia="Times New Roman" w:hAnsi="Garamond" w:cs="Times New Roman"/>
          <w:kern w:val="0"/>
          <w:sz w:val="26"/>
          <w:szCs w:val="26"/>
          <w:lang w:eastAsia="en-ID"/>
          <w14:ligatures w14:val="none"/>
        </w:rPr>
        <w:t>elementary education</w:t>
      </w:r>
      <w:r w:rsidRPr="00657435">
        <w:rPr>
          <w:rFonts w:ascii="Garamond" w:eastAsia="Times New Roman" w:hAnsi="Garamond" w:cs="Times New Roman"/>
          <w:kern w:val="0"/>
          <w:sz w:val="26"/>
          <w:szCs w:val="26"/>
          <w:lang w:eastAsia="en-ID"/>
          <w14:ligatures w14:val="none"/>
        </w:rPr>
        <w:t xml:space="preserve"> with global digital realities</w:t>
      </w:r>
      <w:r w:rsidR="008D1922" w:rsidRPr="00657435">
        <w:rPr>
          <w:rFonts w:ascii="Garamond" w:hAnsi="Garamond" w:cs="Times New Roman"/>
          <w:sz w:val="26"/>
          <w:szCs w:val="26"/>
        </w:rPr>
        <w:t xml:space="preserve"> (</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205875"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{"citationID":"qgRxgLLF","properties":{"formattedCitation":"(S\\uc0\\u225{} &amp; Serpa, 2022; Y\\uc0\\u305{}ld\\uc0\\u305{}r\\uc0\\u305{}m &amp; Ke\\uc0\\u231{}eci, 2024; Zaki et al., 2024)","plainCitation":"(Sá &amp; Serpa, 2022; Yıldırım &amp; Keçeci, 2024; Zaki et al., 2024)","dontUpdate":true,"noteIndex":0},"citationItems":[{"id":823,"uris":["http://zotero.org/users/local/rGxUvxsB/items/DL2PH7E3"],"itemData":{"id":823,"type":"article-journal","abstract":"The growing digitalization that is taking place in most current societies, shaping a super-smart society – such as, for example, the aimed Society 5.0 – raises profound implications in the learning that the higher education context should foster, and which is summarized in the following question: what kind of skills should be taught and how? This perspective paper aims to analyze the centrality of soft skills in this new and unavoidable context, as well as the implications in the learning process. The results of a bibliographical search point toward the fact that, in addition to professional and scientific skills, soft skills are critical for professional and personal success, which implies a profound reformulation of the teaching processes in the overwhelming majority of higher education institutions and their actors. For this challenge to become a reality and for the success of these processes, elements such as digital literacy, sustainability and interculturality are paramount.","container-title":"Journal of Curriculum and Teaching","DOI":"10.5430/jct.v11n4p1","ISSN":"1927-2685, 1927-2677","issue":"4","journalAbbreviation":"JCT","language":"en","license":"http://creativecommons.org/licenses/by/4.0","note":"number: 4","page":"1","source":"DOI.org (Crossref)","title":"Higher Education as a Promoter of Soft Skills in a Sustainable Society 5.0","volume":"11","author":[{"family":"Sá","given":"Maria José"},{"family":"Serpa","given":"Sandro"}],"issued":{"date-parts":[["2022",4,4]]}}},{"id":828,"uris":["http://zotero.org/users/local/rGxUvxsB/items/IEBPMV4I"],"itemData":{"id":828,"type":"article-journal","abstract":"Within the scope of the measures taken in the COVID-19 pandemic crisis, which has affected the entire world, face-to-face events have been moved to digital platforms. Throughout global pandemic, many countries applied various distance education applications compatible to their technological infrastructure and resources to cope with disruption in education. In this process, online education has swiftly been substituted for face-to-face education to ensure learning continuity. Since this rapid transition, learning methods using digital technologies in education and training have started to attract more attention. One of the most important examples of digital transformation in education is the metaverse technology which gained global attraction conceptually. Metaverse, derived from the words meta (after/beyond) and universe forming meta-universe, is a fictional universe that allows users to engage with three-dimensional virtual worlds using augmented reality and virtual reality technologies as well as personal mobile devices. This study explains what the metaverse is, investigates its reflections on education, provides sample metaverse projects and proposes further improvements.","container-title":"Milli Eğitim Dergisi","DOI":"10.37669/milliegitim.1240070","ISSN":"1302-5600","issue":"243","language":"tr","note":"number: 243","page":"1635-1654","source":"DOI.org (Crossref)","title":"Metaverse ve Eğitim: Yeni Bir Dönem Başlıyor!","title-short":"Metaverse ve Eğitim","volume":"53","author":[{"family":"Yıldırım","given":"Pelin"},{"family":"Keçeci","given":"Gonca"}],"issued":{"date-parts":[["2024",8,1]]}}},{"id":826,"uris":["http://zotero.org/users/local/rGxUvxsB/items/S4RBNVNB"],"itemData":{"id":826,"type":"article-journal","abstract":"In the context of Society 5.0, education must equip students with essential 21st-century skills such as problem-solving, collaboration, and creativity. However, traditional teacher-centered methods often fail to develop these competencies effectively. To address this issue, we developed a Project-Based Learning Model integrated with local wisdom (PBLM-e) within the Merdeka Belajar framework. The PBLM-e model enhances critical thinking and problem-solving skills by embedding culturally relevant, real-world problems into the learning process. This study employed a mixed-method approach, combining Research &amp; Development (R&amp;D) and experimental design, with 116 junior high school students in Makassar, Indonesia. Pre- and post-tests assessed students’ problem-solving abilities across four key indicators: understanding the problem, devising a plan, executing the plan, and reflecting on the solution. Results showed significant improvements in all indicators, demonstrating the model’s effectiveness in fostering essential skills. The integration of local wisdom made learning more meaningful, connecting academic content with students’ cultural contexts. The PBLM-e model presents a practical approach to preparing students for the challenges of Society 5.0, and future research should explore its long-term impact and the potential for incorporating advanced technologies.","container-title":"Journal of Ecohumanism","DOI":"10.62754/joe.v3i7.4341","ISSN":"2752-6801, 2752-6798","issue":"7","journalAbbreviation":"JoE","language":"en","license":"https://creativecommons.org/licenses/by-nc-nd/4.0","note":"number: 7","page":"1821-1831","source":"DOI.org (Crossref)","title":"Integrating Local Wisdom with Project-Based Learning to Enhance 21st-Century Skills in the Society 5.0 Era","volume":"3","author":[{"family":"Zaki","given":"Ahmad"},{"family":"Mulbar","given":"Usman"},{"family":"Husniati","given":"Andi"},{"family":"Naufal","given":"Muhammad Ammar"}],"issued":{"date-parts":[["2024",10,15]]}}}],"schema":"https://github.com/citation-style-language/schema/raw/master/csl-citation.json"} </w:instrText>
      </w:r>
      <w:r w:rsidR="00205875" w:rsidRPr="00657435">
        <w:rPr>
          <w:rFonts w:ascii="Garamond" w:hAnsi="Garamond" w:cs="Times New Roman"/>
          <w:sz w:val="26"/>
          <w:szCs w:val="26"/>
        </w:rPr>
        <w:fldChar w:fldCharType="separate"/>
      </w:r>
      <w:r w:rsidR="00205875" w:rsidRPr="00657435">
        <w:rPr>
          <w:rFonts w:ascii="Garamond" w:hAnsi="Garamond" w:cs="Times New Roman"/>
          <w:sz w:val="26"/>
          <w:szCs w:val="26"/>
        </w:rPr>
        <w:t>Sá &amp; Serpa, 2022; Yıldırım &amp; Keçeci, 2024; Zaki et al., 2024)</w:t>
      </w:r>
      <w:r w:rsidR="00205875"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 xml:space="preserve">Moreover, the challenges of digitalisation and the sustainability of education (two studies) represent key issues, underscoring the structural pressures on the learning system resulting from technological acceleration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205875"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{"citationID":"AmCUZOwc","properties":{"formattedCitation":"(Althabhawi et al., 2022; Rosidin et al., 2019)","plainCitation":"(Althabhawi et al., 2022; Rosidin et al., 2019)","dontUpdate":true,"noteIndex":0},"citationItems":[{"id":835,"uris":["http://zotero.org/users/local/rGxUvxsB/items/CXSICLBV"],"itemData":{"id":835,"type":"article-journal","abstract":"Society 5.0 is a new term used to indicate the future world. This society is based on ubiquity, learning machines, the internet of things, big data, cloud computing, cryptography, and biometrics. All these technologies will be merged to create a new mode of life. The new way of life will inevitably influence human beingsâ€™ values, concepts, and conduct. The result of these changes will consequently bring challenges to many legal areas. This paper addresses the challenges that brought society 5.0 to legal norms. It utilises the analytical approach to examine the capability of pre-existing legal norms to cope with new realities created by society 5.0. The paper analyses the legal implications of society 5.0 in their sociological context. It presents a jurisprudential vision to establish legal norms compatible with the new society. Three fundamental principles should be considered to establish new legal. First, social facts that trigger legal regulation can simultaneously occur in multiple places. Secondly, what the study called duality of legal rules will not survive in society 5.0 era. Third, the paper turns the spotlight on new intelligent systems which may introduce new law addressees.","container-title":"Sriwijaya Law Review","DOI":"10.28946/slrev.Vol6.Iss1.1415.pp41-54","ISSN":"2541-6464, 2541-5298","journalAbbreviation":"Sriwijaya Law Rev.","language":"en","page":"41-54","source":"DOI.org (Crossref)","title":"Society 5.0: A New Challenge to Legal Norms","title-short":"Society 5.0","author":[{"family":"Althabhawi","given":"Nabeel Mahdi"},{"family":"Zainol","given":"Zinatul Ashiqin"},{"family":"Bagheri","given":"Parviz"}],"issued":{"date-parts":[["2022",1,31]]}}},{"id":847,"uris":["http://zotero.org/users/local/rGxUvxsB/items/MIWW28RG"],"itemData":{"id":847,"type":"article-journal","abstract":"Critical thinking skills are important in the context of 21st-century learning, where students are able to express reasons that support the assumptions or conclusions they obtain. A preliminary study at 25 Bandar Lampung Middle Schools found that science learning had not been maximized in training critical thinking skills. This study aims to determine the effect of applying the Argument-Driven Inquiry (ADI) learning model on students’ critical thinking skills based on differences in academic abilities, gender, and personality type. This study used Nonequivalent (Pretest and Posttest) Control Group Design and One-Group Pretest-Posttest Design. The data of pretest and posttest essay questions results were analyzed using nonparametric statistical tests. The results showed that there was an effect of ADI learning on critical thinking skills in high and low academic students. Moreover, this model provided a greater influence on students’ high academic abilities. The ADI model could also accommodate all male and female students with various types of personality types because the gender and personality type aspects do not show significant differences in students’ critical thinking abilities, both between male and female students and students with different personality types. Overall, the ADI model is effective in improving students’ critical thinking skills.","container-title":"Jurnal Cakrawala Pendidikan","DOI":"10.21831/cp.v38i3.24725","ISSN":"2442-8620, 0216-1370","journalAbbreviation":"CP","language":"en","page":"511-526","source":"DOI.org (Crossref)","title":"Can Argument-Driven Inquiry Models Have Impact on Critical Thinking Skills for Students with Different Personality Types?","author":[{"family":"Rosidin","given":"Undang"},{"family":"Kadaritna","given":"Nina"},{"family":"Hasnunidah","given":"Neni"}],"issued":{"date-parts":[["2019",10,24]]}}}],"schema":"https://github.com/citation-style-language/schema/raw/master/csl-citation.json"} </w:instrText>
      </w:r>
      <w:r w:rsidR="00205875" w:rsidRPr="00657435">
        <w:rPr>
          <w:rFonts w:ascii="Garamond" w:hAnsi="Garamond" w:cs="Times New Roman"/>
          <w:sz w:val="26"/>
          <w:szCs w:val="26"/>
        </w:rPr>
        <w:fldChar w:fldCharType="separate"/>
      </w:r>
      <w:r w:rsidR="00205875" w:rsidRPr="00657435">
        <w:rPr>
          <w:rFonts w:ascii="Garamond" w:hAnsi="Garamond" w:cs="Times New Roman"/>
          <w:sz w:val="26"/>
          <w:szCs w:val="26"/>
        </w:rPr>
        <w:t>Althabhawi et al., 2022; Rosidin et al., 2019)</w:t>
      </w:r>
      <w:r w:rsidR="00205875" w:rsidRPr="00657435">
        <w:rPr>
          <w:rFonts w:ascii="Garamond" w:hAnsi="Garamond" w:cs="Times New Roman"/>
          <w:sz w:val="26"/>
          <w:szCs w:val="26"/>
        </w:rPr>
        <w:fldChar w:fldCharType="end"/>
      </w:r>
      <w:r w:rsidR="008D1922" w:rsidRPr="00657435">
        <w:rPr>
          <w:rFonts w:ascii="Garamond" w:hAnsi="Garamond" w:cs="Times New Roman"/>
          <w:sz w:val="26"/>
          <w:szCs w:val="26"/>
        </w:rPr>
        <w:t>.</w:t>
      </w:r>
    </w:p>
    <w:p w14:paraId="4A4E745C" w14:textId="66B00065" w:rsidR="008D1922" w:rsidRPr="00657435" w:rsidRDefault="005D6637" w:rsidP="00657435">
      <w:pPr>
        <w:pStyle w:val="ListParagraph"/>
        <w:tabs>
          <w:tab w:val="left" w:pos="142"/>
          <w:tab w:val="left" w:pos="284"/>
          <w:tab w:val="left" w:pos="426"/>
          <w:tab w:val="left" w:pos="1088"/>
        </w:tabs>
        <w:spacing w:after="0" w:line="240" w:lineRule="auto"/>
        <w:ind w:left="0"/>
        <w:jc w:val="both"/>
        <w:rPr>
          <w:rFonts w:ascii="Garamond" w:hAnsi="Garamond" w:cs="Times New Roman"/>
          <w:sz w:val="26"/>
          <w:szCs w:val="26"/>
        </w:rPr>
      </w:pPr>
      <w:r w:rsidRPr="00657435">
        <w:rPr>
          <w:rFonts w:ascii="Garamond" w:hAnsi="Garamond" w:cs="Times New Roman"/>
          <w:sz w:val="26"/>
          <w:szCs w:val="26"/>
        </w:rPr>
        <w:t xml:space="preserve">The topic of 21st-century competencies is highlighted in numerous studies as a direct result of global educational pressures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205875"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{"citationID":"sWAYvVBf","properties":{"formattedCitation":"(Ilhami et al., 2025b; Rosana et al., 2021)","plainCitation":"(Ilhami et al., 2025b; Rosana et al., 2021)","dontUpdate":true,"noteIndex":0},"citationItems":[{"id":840,"uris":["http://zotero.org/users/local/rGxUvxsB/items/BV7NNHJB"],"itemData":{"id":840,"type":"article-journal","abstract":"This research investigates the combined influence of scientific attitude, active learning, and friendly character on the science learning outcomes of junior high school students in Jambi City. It explores how these factors contribute to student's academic performance and social development in science education. A mixed-methods approach was used, integrating quantitative data from questionnaires with qualitative insights from interviews. The sample consisted of junior high school students in Jambi City. Data analysis was performed using multiple regression tests with SPSS to examine the relationship between the variables. The results indicate that scientific attitude, active learning, and friendly character significantly and positively affect students' science learning outcomes. Active learning enhanced students’ engagement and critical thinking skills, while a strong scientific attitude improved their curiosity and problem-solving abilities. Students with well-developed, friendly character traits also demonstrated better social interactions, leading to more effective collaboration in group-based learning activities. Despite these positive outcomes, the study highlights the challenge of translating scientific concepts into realworld applications, which requires greater emphasis on contextual learning and motivation. This study offers a fresh perspective by integrating social-emotional traits such as friendly character into analyzing science learning outcomes, an area often overlooked in previous research. It provides actionable insights into how fostering active learning and positive social interactions can create a more engaging and effective science learning environment.","container-title":"Jurnal Ilmiah Ilmu Terapan Universitas Jambi","DOI":"10.22437/jiituj.v9i1.41809","ISSN":"2580-2259, 2580-2240","issue":"1","journalAbbreviation":"Jur. Ilmh. Ilm. Ter. Un. Ja","language":"en","license":"https://creativecommons.org/licenses/by/4.0","note":"number: 1","page":"1-14","source":"DOI.org (Crossref)","title":"The Influence of Scientific Attitude, Active Learning, and Friendly Character on Science Learning Outcomes in Junior High School Students","volume":"9","author":[{"family":"Ilhami","given":"Mohamad"},{"family":"Amanah","given":"Siti"},{"family":"Nuriyatman","given":"Eko"},{"family":"Priyanto","given":"Priyanto"},{"family":"Kumalasari","given":"Ade"},{"family":"Kurniati","given":"Erisa"},{"family":"Hayati","given":"Suci"},{"family":"Nusantara","given":"Duano Sapta"}],"issued":{"date-parts":[["2025",2,13]]}}},{"id":838,"uris":["http://zotero.org/users/local/rGxUvxsB/items/SMXTJRIH"],"itemData":{"id":838,"type":"article-journal","abstract":"Efforts to fulfill food security to anticipate population growth in Indonesia need to be supported by universities through research and community service. The application of the Natural Animal Audio Organic Growth System (NA-AOGS) with a STEM (Science, Technology, Engineering, and Mathematics) approach is an effort to help the community increase crop yields and accelerate the growth of soybeans (Glycine max (L.) Merill). The research method used is R&amp;D (Research &amp; Development). This model is a spiral cycle using five main activities as follows: (1) defining the product concept; (2) designing research products; (3) demonstrating the product in a limited trial; (4) developing the product through evaluating the test results; and (5) presenting the product to the public. The direct impact of learning is the improvement of science process skills and critical thinking of students in the Biophysics course at the Natural Sciences Study Program, Universitas Negeri Yogyakarta. This impact is due to the effective application of STEM to link science learning with contextual technology and engineering (NA-AOGS), environmentally friendly technology (only using natural animal sound frequency variables), mathematical elements in data analysis, and analysis of soybeans growth charts. The economic impact of this research is the scientific contribution in the form of adaptation of agricultural technology to increase soybean yields (an increase of 130.38% on an area of 2750 m2). The novelty and contribution of this research is the integration of science learning with agricultural techniques and technology with a STEM approach to improve the welfare of farmers in educational institutions as a new model in science learning.","container-title":"Jurnal Pendidikan IPA Indonesia","DOI":"10.15294/jpii.v10i3.30695","ISSN":"2089-4392, 2339-1286","issue":"3","journalAbbreviation":"JPII","language":"en","note":"number: 3","page":"447-461","source":"DOI.org (Crossref)","title":"The Effect of Learning Biophysics with STEM Approach on Science Process Skills and Critical Thinking: Field Study on Application of NA-AOGS for Increasing Soybean Productivity and Growth Rate","title-short":"The Effect of Learning Biophysics with STEM Approach on Science Process Skills and Critical Thinking","volume":"10","author":[{"family":"Rosana","given":"D."},{"family":"Kadarisman","given":"N."},{"family":"Purwanto","given":"A."},{"family":"Sari","given":"E. K."}],"issued":{"date-parts":[["2021",9,29]]}}}],"schema":"https://github.com/citation-style-language/schema/raw/master/csl-citation.json"} </w:instrText>
      </w:r>
      <w:r w:rsidR="00205875" w:rsidRPr="00657435">
        <w:rPr>
          <w:rFonts w:ascii="Garamond" w:hAnsi="Garamond" w:cs="Times New Roman"/>
          <w:sz w:val="26"/>
          <w:szCs w:val="26"/>
        </w:rPr>
        <w:fldChar w:fldCharType="separate"/>
      </w:r>
      <w:r w:rsidR="00205875" w:rsidRPr="00657435">
        <w:rPr>
          <w:rFonts w:ascii="Garamond" w:hAnsi="Garamond" w:cs="Times New Roman"/>
          <w:sz w:val="26"/>
          <w:szCs w:val="26"/>
        </w:rPr>
        <w:t>Ilhami et al., 2025; Rosana et al., 2021)</w:t>
      </w:r>
      <w:r w:rsidR="00205875"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emphasising the necessity of incorporating digital literacy, reflective thinking, and adaptive skills into the curriculum. The absence of innovation support systems highlights that not all educational institutions possess the institutional readiness to handle interdisciplinary and digital advancements</w:t>
      </w:r>
      <w:r w:rsidR="00FD39F1" w:rsidRPr="00657435">
        <w:rPr>
          <w:rFonts w:ascii="Garamond" w:hAnsi="Garamond" w:cs="Times New Roman"/>
          <w:sz w:val="26"/>
          <w:szCs w:val="26"/>
        </w:rPr>
        <w:t>.</w:t>
      </w:r>
    </w:p>
    <w:p w14:paraId="7D46545E" w14:textId="0E1F8E37" w:rsidR="00A416DD" w:rsidRPr="00657435" w:rsidRDefault="00A416DD"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 xml:space="preserve">Individual </w:t>
      </w:r>
      <w:proofErr w:type="spellStart"/>
      <w:r w:rsidRPr="00657435">
        <w:rPr>
          <w:rFonts w:ascii="Garamond" w:hAnsi="Garamond" w:cs="Times New Roman"/>
          <w:i/>
          <w:iCs/>
          <w:sz w:val="26"/>
          <w:szCs w:val="26"/>
        </w:rPr>
        <w:t>Outccomes</w:t>
      </w:r>
      <w:proofErr w:type="spellEnd"/>
    </w:p>
    <w:p w14:paraId="6D321E14" w14:textId="090C10C4" w:rsidR="005D6637" w:rsidRPr="00657435" w:rsidRDefault="005D6637"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 xml:space="preserve">This category illustrates the direct influence of learning engagement on enhancing the cognitive and affective abilities of individual students (28 research). Critical thinking in science is the predominant outcome (23 articles), indicating that engagement in inquiry-based learning, scientific discourse, and critical reflection consistently enhances students' advanced cognitive skills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205875"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{"citationID":"GD6vAfUd","properties":{"formattedCitation":"(Dewi et al., 2017; Fauziah et al., 2024b; Pahrudin et al., 2021)","plainCitation":"(Dewi et al., 2017; Fauziah et al., 2024b; Pahrudin et al., 2021)","dontUpdate":true,"noteIndex":0},"citationItems":[{"id":839,"uris":["http://zotero.org/users/local/rGxUvxsB/items/S6M5UQTJ"],"itemData":{"id":839,"type":"article-journal","abstract":"This study aims to analyze the influence of science learning integrated with the local potential of wood carving and pottery to the critical thinking skill of class VIII SMP students. This research is a quasi-experimental research (quasi-experiment). The research design uses pretest-posttest control group design. The population in this study is the students of class VIII MTs Negeri Piyungan, while the sample is the students of class VIII A and VIII B MTs Negeri Piyungan. The technique of collecting data in this research is in the form of test. The data collection instrument is a critical thinking skill descriptive test. The data were analyzed using ANOVA test. The results of this study indicate that the learning of science integrated with the local potency of wood carving and pottery have an effect on critical thinking skill of class VIII SMP student. This effect is indicated by a significance of 0.008 (significance &lt;0.05).","container-title":"Jurnal Pendidikan IPA Indonesia","DOI":"10.15294/jpii.v6i1.9598","ISSN":"2089-4392, 2339-1286","issue":"1","journalAbbreviation":"JPII","language":"en","license":"http://creativecommons.org/licenses/by/4.0","note":"number: 1","source":"DOI.org (Crossref)","title":"The Effect of Science Learning Integrated with Local Potential of Wood Carving and Pottery Towards the Junior High School Students' Critical Thinking Skills","URL":"https://journal.unnes.ac.id/nju/index.php/jpii/article/view/9598","volume":"6","author":[{"family":"Dewi","given":"I. P. M."},{"family":"Suryadarma","given":"I. G. P."},{"family":"Wilujeng","given":"I."},{"family":"Wahyuningsih","given":"S."}],"accessed":{"date-parts":[["2025",5,31]]},"issued":{"date-parts":[["2017",4,30]]}}},{"id":842,"uris":["http://zotero.org/users/local/rGxUvxsB/items/ZP2XKNEK"],"itemData":{"id":842,"type":"article-journal","abstract":"The study aims to examine the relationship between critical thinking and scientific arguments in science learning. Critical thinking and scientific argumentation help to understand and apply scientific concepts to science learning. The research method is a systematic literature review of articles published between 2012 and 2022 and indexed in Scopus at least Quartile 2 (Q2), so the article’s quality is high. In search results for related articles published in the last decade, the study found 17,800 articles, but only 11 met the criteria focused on improving critical thinking skills through various methods and strategies, including the use of newspaper articles, scientific argumentation, and visualization techniques. The findings from literature reviews show an interdependent relationship between critical thinking and scientific arguments, and both significantly contribute to the study of science. Several methods exist to train and develop critical thinking and scientific arguments in science learning: argument and concept maps, essential reading activities, argument or speech texts, discussion activities, analytical questions, learning technologies, and specific learning strategies. This study concludes that critical thinking and scientific argument are interrelated skills that contribute to learning. The complex relationship between critical thinking and scientific arguments in science learning can encourage deeper learning and understanding of concepts.","container-title":"Jurnal Pendidikan IPA Indonesia","DOI":"DOI: 10.15294/jpii.v13i2.2585","issue":"2","language":"en","note":"number: 2","page":"239-254","source":"Zotero","title":"The Relationship Between Critical Thinking and Scientific Argumentation in Science Learning","volume":"3","author":[{"family":"Fauziah","given":"A N M"},{"family":"Hendratmoko","given":"A F"},{"family":"Mahdiannur","given":"M A"},{"family":"Ermawan","given":"M Z F"},{"family":"Suwandi","given":"E"},{"family":"Ratri","given":"S Y"}],"issued":{"date-parts":[["2024"]]}}},{"id":837,"uris":["http://zotero.org/users/local/rGxUvxsB/items/IJDVC42J"],"itemData":{"id":837,"type":"article-journal","abstract":"Industrial revolution 4.0 is currently present in various countries, including Indonesia. Indonesia responded quickly through technological developments, especially education. The actions of the Indonesian government to deal with industrial 4.0 are contained in the 4C principle, one of which is Critical Thinking. The Science, Technology, Engineering, and Mathematics (STEM) learning approach has become an alternative in building critical thinking skills, especially in science learning. The purpose of this study is to quantitatively measure the impact of the STEM-inquiry model based on the K-13 Indonesian Curriculum towards critical thinking skills of 15-16 years old students. This study employed quasi-experimental with non-equivalent control group design at SMAN 1 (State Senior High School) Padang Cermin, Lampung, Indonesia. The research subjects consisted of 50 students. The critical thinking skill was measured through 10 items of an essay question on the momentum and impulse material. Based on the results of the non-parametric statistical hypothesis test Mann Whitney, the significance level of 0.004 was obtained (sig &lt;0.05). The results of the hypothetical test showed that the student's critical thinking skills before and after using the STEM-based inquiry model were different. It can be concluded that the application of the STEM-based inquiry model was effective in increasing students' critical thinking skills.","container-title":"European Journal of Educational Research","DOI":"10.12973/eu-jer.10.2.681","ISSN":"21658714, 21658714","issue":"volume-10-issue-2-april-2021","journalAbbreviation":"EUROPEAN J ED RES","language":"en","note":"number: volume-10-issue-2-april-2021","page":"681-692","source":"DOI.org (Crossref)","title":"The Effectiveness of Science, Technology, Engineering, and Mathematics-Inquiry Learning for 15-16 Years Old Students Based on K-13 Indonesian Curriculum: The Impact on the Critical Thinking Skills","title-short":"The Effectiveness of Science, Technology, Engineering, and Mathematics-Inquiry Learning for 15-16 Years Old Students Based on K-13 Indonesian Curriculum","volume":"volume-10-2021","author":[{"family":"Pahrudin","given":"Agus"},{"family":"Misbah","given":"Misbah"},{"family":"Alisia","given":"Gita"},{"family":"Saregar","given":"Antomi"},{"family":"Asyhari","given":"Ardian"},{"family":"Anugrah","given":"Adyt"},{"family":"Susilowati","given":"Nur Endah"}],"issued":{"date-parts":[["2021",4,15]]}}}],"schema":"https://github.com/citation-style-language/schema/raw/master/csl-citation.json"} </w:instrText>
      </w:r>
      <w:r w:rsidR="00205875" w:rsidRPr="00657435">
        <w:rPr>
          <w:rFonts w:ascii="Garamond" w:hAnsi="Garamond" w:cs="Times New Roman"/>
          <w:sz w:val="26"/>
          <w:szCs w:val="26"/>
        </w:rPr>
        <w:fldChar w:fldCharType="separate"/>
      </w:r>
      <w:r w:rsidR="00205875" w:rsidRPr="00657435">
        <w:rPr>
          <w:rFonts w:ascii="Garamond" w:hAnsi="Garamond" w:cs="Times New Roman"/>
          <w:sz w:val="26"/>
          <w:szCs w:val="26"/>
        </w:rPr>
        <w:t>Dewi et al., 2017; Fauziah et al., 2024; Pahrudin et al., 2021)</w:t>
      </w:r>
      <w:r w:rsidR="00205875"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This element serves as the primary foundation of 21st-century education, highlighting scientific reasoning as the principal consequence.</w:t>
      </w:r>
    </w:p>
    <w:p w14:paraId="65A93044" w14:textId="6A4234E0" w:rsidR="008D1922" w:rsidRPr="00657435" w:rsidRDefault="005D6637"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hAnsi="Garamond" w:cs="Times New Roman"/>
          <w:sz w:val="26"/>
          <w:szCs w:val="26"/>
        </w:rPr>
        <w:t>Moreover, communication surfaced as a significant outcome (3 articles), particularly within the realms of collaborative learning and scientific presentations, which promote students' ability to articulate ideas proficiently during group discussions</w:t>
      </w:r>
      <w:r w:rsidR="008D1922" w:rsidRPr="00657435">
        <w:rPr>
          <w:rFonts w:ascii="Garamond" w:hAnsi="Garamond" w:cs="Times New Roman"/>
          <w:sz w:val="26"/>
          <w:szCs w:val="26"/>
        </w:rPr>
        <w:t xml:space="preserve"> (</w:t>
      </w:r>
      <w:r w:rsidRPr="00657435">
        <w:rPr>
          <w:rFonts w:ascii="Garamond" w:hAnsi="Garamond" w:cs="Times New Roman"/>
          <w:sz w:val="26"/>
          <w:szCs w:val="26"/>
        </w:rPr>
        <w:t xml:space="preserve">e.g., </w:t>
      </w:r>
      <w:r w:rsidR="00205875"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{"citationID":"M4qgE1yV","properties":{"formattedCitation":"(Pursitasari et al., 2022; Sarwi et al., 2024)","plainCitation":"(Pursitasari et al., 2022; Sarwi et al., 2024)","dontUpdate":true,"noteIndex":0},"citationItems":[{"id":822,"uris":["http://zotero.org/users/local/rGxUvxsB/items/WAS5F7ID"],"itemData":{"id":822,"type":"article-journal","abstract":"Students’ ccritical thinking skills and awareness of the environment are low. One of the efforts to improve this is through the development of eco-literacy-based interactive teaching materials (EITM). This study aims to test the feasibility of EITM to enhance students' critical thinking skills. The EITM feasibility test was conducted by two content experts and two media experts and involved 18 science teachers and the participation of junior high school students. After the teaching materials were revised, they were then tested on 50 students to measure their subsequent critical thinking skills. The results of the expert assessments were determined by percentages and categorized, the teacher assessments were calculated by CVR and CVI, and the acceptance data were analysed descriptively and quantitatively. The results of the feasibility test show that EITM has a valid category. Therefore, they can be used in science learning to promote critical thinking skills.","container-title":"Cypriot Journal of Educational Sciences","DOI":"10.18844/cjes.v17i6.7505","ISSN":"1305-905X","issue":"6","journalAbbreviation":"CJES","language":"en","license":"https://creativecommons.org/licenses/by/4.0","note":"number: 6","page":"2105-2116","source":"DOI.org (Crossref)","title":"Feasibility of eco-literacy-based interactive teaching material to promote critical thinking skills","volume":"17","author":[{"family":"Pursitasari","given":"Indarini Dwi"},{"family":"Rubini","given":"Bibin"},{"family":"Firdaus","given":"Fikri Zauharul"}],"issued":{"date-parts":[["2022",6,30]]}}},{"id":834,"uris":["http://zotero.org/users/local/rGxUvxsB/items/YC8GMUEC"],"itemData":{"id":834,"type":"article-journal","abstract":"This study aimed to i) analyse learning problems in science at boarding schools for junior high school students and ii) determine the effectiveness of science learning in the context of Islamic teachings using the science, technology, engineering, and mathematics, -religion (STEM-R) approach to improve reflective and critical thinking skills. The research method applied in this study was a sequential exploratory mixed method. The research design consisted of five stages: i) qualitative data gathering, ii) qualitative data analysis, iii) quantitative data gathering, iv) quantitative data analysis, and v) data interpretation. The subjects of this study were 192 students from boarding schools and were divided into 6 groups. The research results obtained were the school, parents, science teachers and religion teachers’ vision and mission causing students to like or dislike science. An excellent teacher is viewed by students as someone who can make learning enjoyable, exhibit creativity in presenting educational material, possess the ability to motivate, link science and religion, engage in investigative activities, infuse humour, establish connections between science and everyday life, and communicate concepts effectively. Moreover, distinctions in reflective thinking and critical thinking abilities were observed between the experimental group and the control group. Learning that connects science and Islamic religion and examines STEM-R aspects is able to develop students' thinking skills.","container-title":"Journal of Education and Learning (EduLearn)","DOI":"10.11591/edulearn.v18i2.21080","ISSN":"2302-9277, 2089-9823","issue":"2","journalAbbreviation":"EduLearn","language":"en","license":"http://creativecommons.org/licenses/by/4.0","note":"number: 2","page":"462-470","source":"DOI.org (Crossref)","title":"Science learning STEM-R approach: A study of students' reflective and critical thinking","title-short":"Science learning STEM-R approach","volume":"18","author":[{"family":"Sarwi","given":"Sarwi"},{"family":"Marwoto","given":"Putut"},{"family":"Susilaningsih","given":"Endang"},{"family":"Lathif","given":"Yuniar Fahmi"},{"family":"Winarto","given":"Winarto"}],"issued":{"date-parts":[["2024",5,1]]}}}],"schema":"https://github.com/citation-style-language/schema/raw/master/csl-citation.json"} </w:instrText>
      </w:r>
      <w:r w:rsidR="00205875" w:rsidRPr="00657435">
        <w:rPr>
          <w:rFonts w:ascii="Garamond" w:hAnsi="Garamond" w:cs="Times New Roman"/>
          <w:sz w:val="26"/>
          <w:szCs w:val="26"/>
        </w:rPr>
        <w:fldChar w:fldCharType="separate"/>
      </w:r>
      <w:r w:rsidR="00205875" w:rsidRPr="00657435">
        <w:rPr>
          <w:rFonts w:ascii="Garamond" w:hAnsi="Garamond" w:cs="Times New Roman"/>
          <w:sz w:val="26"/>
          <w:szCs w:val="26"/>
        </w:rPr>
        <w:t>Pursitasari et al., 2022; Sarwi et al., 2024)</w:t>
      </w:r>
      <w:r w:rsidR="00205875"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 xml:space="preserve">Problem-solving (2 articles) and learning motivation (2 articles) were recognised as the effects of project-based and inquiry-based learning, which promotes students' independent resolution of contextual issues and enhances their willingness to learn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985D84"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{"citationID":"gMY4Tznf","properties":{"formattedCitation":"(Saputro et al., 2020; Suresman et al., 2023)","plainCitation":"(Saputro et al., 2020; Suresman et al., 2023)","dontUpdate":true,"noteIndex":0},"citationItems":[{"id":820,"uris":["http://zotero.org/users/local/rGxUvxsB/items/CPKVDM33"],"itemData":{"id":820,"type":"article-journal","abstract":"Self-efficacy and critical thinking represent two vital components for university graduates in the 21st century learning. However, several studies reported that these two important outcome predictors were unsatisfactory. This study aimed at investigating the effects of problem-based learning (PBL) on pre-service teachers’ self-efficacy and critical thinking. A quasiexperimental nonequivalent pretest-posttest control group design was utilized. A total of 44 pre-service elementary school teachers (aged 19-22) at a private university in Indonesia were assigned as experimental (n = 22) and control (n = 22) groups. The experimental group learning received PBL, while the control group learning with traditional college instruction. The Self-Efficacy Scale (SES) and the Critical Thinking Questionnaire (CTQ) were administered before and after the intervention in both groups. Independent and paired samples t-tests were employed to analyze the pretests and posttests data. The results indicated that PBL was more effective in increasing self-efficacy and critical thinking of pre-service elementary teachers than traditional teaching. It is suggested that PBL should be used more frequently in science learning to further enhance students’ self-efficacy and critical thinking skills in higher education.","container-title":"European Journal of Educational Research","DOI":"10.12973/eu-jer.9.2.765","ISSN":"21658714, 21658714","issue":"volume-9-issue-2-april-2020","journalAbbreviation":"EUROPEAN J ED RES","language":"en","note":"number: volume-9-issue-2-april-2020","page":"765-773","source":"DOI.org (Crossref)","title":"Enhancing Pre-Service Elementary Teachers’ Self-Efficacy and Critical Thinking using Problem-Based Learning","volume":"volume-9-2020","author":[{"family":"Saputro","given":"Anip Dwi"},{"family":"Atun","given":"Sri"},{"family":"Wilujeng","given":"Insih"},{"family":"Ariyanto","given":"Ayok"},{"family":"Arifin","given":"Syamsul"}],"issued":{"date-parts":[["2020",4,15]]}}},{"id":824,"uris":["http://zotero.org/users/local/rGxUvxsB/items/CD7F7U3U"],"itemData":{"id":824,"type":"article-journal","abstract":"Low critical thinking skills are a crucial problem in science learning. Meanwhile, the purpose of this research was to determine the effect of the i-Spring Suite 10 media on students’ critical thinking skills in natural science. The research method used a quasi-experimental with a limited population, namely 6th-grade elementary students. The sample was selected using a purposive sampling technique. Thus, two classes were used as samples, namely 6th A grade with 20 students and 6th B grade with 20 students. The 6th A grade as an experimental class and used interactive multimedia based on i-Spring Suite 10. Meanwhile, 6th B grade was the control class and used audiovisual-based multimedia. The research instrument used a test with multiple choices and explanations. Based on the results of statistical analysis, the results of tobserved were 2.89 and tcritical with a significance level of 5% (</w:instrText>
      </w:r>
      <w:r w:rsidR="000675C6" w:rsidRPr="00657435">
        <w:rPr>
          <w:rFonts w:ascii="Times New Roman" w:hAnsi="Times New Roman" w:cs="Times New Roman"/>
          <w:sz w:val="26"/>
          <w:szCs w:val="26"/>
        </w:rPr>
        <w:instrText>ɑ</w:instrText>
      </w:r>
      <w:r w:rsidR="000675C6" w:rsidRPr="00657435">
        <w:rPr>
          <w:rFonts w:ascii="Garamond" w:hAnsi="Garamond" w:cs="Times New Roman"/>
          <w:sz w:val="26"/>
          <w:szCs w:val="26"/>
        </w:rPr>
        <w:instrText xml:space="preserve"> = 0.05) of 2.025. From these results, it was found that tobserved &gt; tcritical. This study concludes that there is a significant effect of the interactive multimedia based on i-Spring Suite 10 on students</w:instrText>
      </w:r>
      <w:r w:rsidR="000675C6" w:rsidRPr="00657435">
        <w:rPr>
          <w:rFonts w:ascii="Garamond" w:hAnsi="Garamond" w:cs="Garamond"/>
          <w:sz w:val="26"/>
          <w:szCs w:val="26"/>
        </w:rPr>
        <w:instrText>’</w:instrText>
      </w:r>
      <w:r w:rsidR="000675C6" w:rsidRPr="00657435">
        <w:rPr>
          <w:rFonts w:ascii="Garamond" w:hAnsi="Garamond" w:cs="Times New Roman"/>
          <w:sz w:val="26"/>
          <w:szCs w:val="26"/>
        </w:rPr>
        <w:instrText xml:space="preserve"> critical thinking skills in natural science subjects.","container-title":"Jurnal Cakrawala Pendidikan","DOI":"10.21831/cp.v42i2.53646","ISSN":"2442-8620, 0216-1370","issue":"2","journalAbbreviation":"CP","language":"en","license":"http://creativecommons.org/licenses/by-sa/4.0","note":"number: 2","page":"433-446","source":"DOI.org (Crossref)","title":"Implementation of i-Spring Suite to improve Darul Muta'alimin students' learning for critical thinking skills in natural science","volume":"42","author":[{"family":"Suresman","given":"Edi"},{"family":"Febrianti","given":"Fitri"},{"family":"Dallyono","given":"Ruswan"}],"issued":{"date-parts":[["2023",5,29]]}}}],"schema":"https://github.com/citation-style-language/schema/raw/master/csl-citation.json"} </w:instrText>
      </w:r>
      <w:r w:rsidR="00985D84" w:rsidRPr="00657435">
        <w:rPr>
          <w:rFonts w:ascii="Garamond" w:hAnsi="Garamond" w:cs="Times New Roman"/>
          <w:sz w:val="26"/>
          <w:szCs w:val="26"/>
        </w:rPr>
        <w:fldChar w:fldCharType="separate"/>
      </w:r>
      <w:r w:rsidR="00985D84" w:rsidRPr="00657435">
        <w:rPr>
          <w:rFonts w:ascii="Garamond" w:hAnsi="Garamond" w:cs="Times New Roman"/>
          <w:sz w:val="26"/>
          <w:szCs w:val="26"/>
        </w:rPr>
        <w:t>Saputro et al., 2020; Suresman et al., 2023)</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w:t>
      </w:r>
    </w:p>
    <w:p w14:paraId="6D5F45F4" w14:textId="77777777" w:rsidR="005D6637" w:rsidRPr="00657435" w:rsidRDefault="005D6637"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Results This suggests that classroom learning engagement enhances student participation while also fortifying their internal abilities in reasoning, communication, and decision-making. Consequently, the specific outcomes of learning engagement highlight the significance of educational frameworks that promote cognitive reflection, intrinsic drive, and scientific proficiency.</w:t>
      </w:r>
    </w:p>
    <w:p w14:paraId="2B23F646" w14:textId="26FBE1AE" w:rsidR="00A416DD" w:rsidRPr="00657435" w:rsidRDefault="008D1922"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proofErr w:type="spellStart"/>
      <w:r w:rsidRPr="00657435">
        <w:rPr>
          <w:rFonts w:ascii="Garamond" w:hAnsi="Garamond" w:cs="Times New Roman"/>
          <w:i/>
          <w:iCs/>
          <w:sz w:val="26"/>
          <w:szCs w:val="26"/>
        </w:rPr>
        <w:t>B</w:t>
      </w:r>
      <w:r w:rsidR="00A416DD" w:rsidRPr="00657435">
        <w:rPr>
          <w:rFonts w:ascii="Garamond" w:hAnsi="Garamond" w:cs="Times New Roman"/>
          <w:i/>
          <w:iCs/>
          <w:sz w:val="26"/>
          <w:szCs w:val="26"/>
        </w:rPr>
        <w:t>ehavioral</w:t>
      </w:r>
      <w:proofErr w:type="spellEnd"/>
    </w:p>
    <w:p w14:paraId="1F9AEFAF" w14:textId="685B575B" w:rsidR="008D1922" w:rsidRPr="00657435" w:rsidRDefault="005D6637"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 xml:space="preserve">This category encompasses affirmative behavioural modifications in pupils that signify active engagement in learning (7 studies). Scientific collaboration in executing joint tasks is the predominant indicator (3 articles), highlighting that participation in project-based learning and experiments enhances students' capacity for teamwork and collective problem-solving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985D84"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{"citationID":"yRmQbSqX","properties":{"formattedCitation":"(Chistyakov et al., 2023; Suwardika et al., 2024b)","plainCitation":"(Chistyakov et al., 2023; Suwardika et al., 2024b)","dontUpdate":true,"noteIndex":0},"citationItems":[{"id":821,"uris":["http://zotero.org/users/local/rGxUvxsB/items/7939F2VD"],"itemData":{"id":821,"type":"article-journal","abstract":"The purpose of this article is to determine project-based learning (PjBL) from the characteristics, effectiveness and implementation aspects of science and science, technology, engineering, art and mathematics (STEAM) education. Eric database was used in order to investigate key words. Thus, this mini review reviewed 36 articles on PjBL for science and STEAM education based on the available Eric database reference. The data obtained were analyzed using content analysis methods. The results showed that on average PjBL can be categorized as a learning model that can improve student learning outcomes in science learning and train students in problem solving (critical thinking). The review reveals that PjBL has an influence on student learning, especially in science and STEAM education. From this article, it can be concluded and can be recommended three recommendations related to the essential success of PjBL in schools.","container-title":"Eurasia Journal of Mathematics, Science and Technology Education","DOI":"10.29333/ejmste/13128","ISSN":"1305-8215, 1305-8223","issue":"5","journalAbbreviation":"EURASIA J Math Sci Tech Ed","language":"en","note":"number: 5","page":"em2256","source":"DOI.org (Crossref)","title":"Exploring the characteristics and effectiveness of project-based learning for science and STEAM education","volume":"19","author":[{"family":"Chistyakov","given":"Alexey A."},{"family":"Zhdanov","given":"Sergei P."},{"family":"Avdeeva","given":"Elena L."},{"family":"Dyadichenko","given":"Elena A."},{"family":"Kunitsyna","given":"Maria L."},{"family":"Yagudina","given":"Roza I."}],"issued":{"date-parts":[["2023",5,1]]}}},{"id":846,"uris":["http://zotero.org/users/local/rGxUvxsB/items/3VAZNZLZ"],"itemData":{"id":846,"type":"article-journal","abstract":"Purpose – In the era of Industry 4.0, the relevance of webinar tutorials, a form of distance learning, is paramount. These tutorials can catalyze self-regulated learning, critical thinking and communication skills, especially for prospective and in-service teachers pursuing higher education. This paper aims to develop a conceptual framework and report the results of implementing a flipped classroom with whiteboard animation and modules. This innovative approach seeks to enhance students’ self-regulation, critical thinking and communication abilities.","container-title":"Asian Association of Open Universities Journal","DOI":"10.1108/AAOUJ-10-2023-0115","ISSN":"1858-3431, 2414-6994","issue":"2","journalAbbreviation":"AAOUJ","language":"en","license":"https://www.emerald.com/insight/site-policies","note":"number: 2","page":"135-152","source":"DOI.org (Crossref)","title":"A flipped classroom with whiteboard animation and modules to enhance students' self-regulation, critical thinking and communication skills: a conceptual framework and its implementation","title-short":"A flipped classroom with whiteboard animation and modules to enhance students' self-regulation, critical thinking and communication skills","volume":"19","author":[{"family":"Suwardika","given":"Gede"},{"family":"Sopandi","given":"Agus Tatang"},{"family":"Indrawan","given":"I. Putu Oktap"},{"family":"Masakazu","given":"Kadek"}],"issued":{"date-parts":[["2024",9,26]]}}}],"schema":"https://github.com/citation-style-language/schema/raw/master/csl-citation.json"} </w:instrText>
      </w:r>
      <w:r w:rsidR="00985D84" w:rsidRPr="00657435">
        <w:rPr>
          <w:rFonts w:ascii="Garamond" w:hAnsi="Garamond" w:cs="Times New Roman"/>
          <w:sz w:val="26"/>
          <w:szCs w:val="26"/>
        </w:rPr>
        <w:fldChar w:fldCharType="separate"/>
      </w:r>
      <w:r w:rsidR="00985D84" w:rsidRPr="00657435">
        <w:rPr>
          <w:rFonts w:ascii="Garamond" w:hAnsi="Garamond" w:cs="Times New Roman"/>
          <w:sz w:val="26"/>
          <w:szCs w:val="26"/>
        </w:rPr>
        <w:t>Chistyakov et al., 2023; Suwardika et al., 2024)</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 xml:space="preserve">Moreover, data-driven scientific argumentation surfaced prominently (2 papers), suggesting that </w:t>
      </w:r>
      <w:r w:rsidRPr="00657435">
        <w:rPr>
          <w:rFonts w:ascii="Garamond" w:hAnsi="Garamond" w:cs="Times New Roman"/>
          <w:sz w:val="26"/>
          <w:szCs w:val="26"/>
        </w:rPr>
        <w:lastRenderedPageBreak/>
        <w:t xml:space="preserve">participation in scientific discourse enables students to cultivate logical reasoning and methodically provide evidence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985D84"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{"citationID":"cGxL7efw","properties":{"formattedCitation":"(Rahmat et al., 2023b)","plainCitation":"(Rahmat et al., 2023b)","dontUpdate":true,"noteIndex":0},"citationItems":[{"id":825,"uris":["http://zotero.org/users/local/rGxUvxsB/items/NB6C4W88"],"itemData":{"id":825,"type":"article-journal","abstract":"Experiment activity is an essential part of science learning. Suling (flute), a traditional musical instrument from West Java, can be used as a learning media for sound wave concepts. Technology-based mobile can be used as an experimental tool is Phypox. This study aims to report using a combination of Suling and Phypox in experiment activities. The designed activity aims to engage students in critical thinking. The instrument for measuring critical thinking consists of five questions based on the critical thinking aspect: interpretation, analysis, evaluation, inference, and explanation. The study used a one-group pre-and post-test design on 32 8th-grade students at one of the junior high schools in West Java Province, Indonesia. The study procedure is a pre-test, discussion of Suling’s concepts, introduction to Phypox apps, experiment activity, presentation, and post-test. Data analysis uses the normalized gain to compare the pre-and post-test. Experiment activities help students to understand frequency, open organ pipes concepts, and investigate the speed of sound produced by Suling. The study found a significant change in the pre-and post-test scores of students after experimenting, so it could be interpreted that the experimental activities using Suling and Phypox affected critical-thinking students.","container-title":"International Journal of Evaluation and Research in Education (IJERE)","DOI":"10.11591/ijere.v12i4.25753","ISSN":"2620-5440, 2252-8822","issue":"4","journalAbbreviation":"IJERE","language":"en","license":"http://creativecommons.org/licenses/by-nc/4.0","note":"number: 4","page":"2165","source":"DOI.org (Crossref)","title":"Improve critical thinking skills using traditional musical instruments in science learning","volume":"12","author":[{"family":"Rahmat","given":"Anggi Datiatur"},{"family":"Kuswanto","given":"Heru"},{"family":"Wilujeng","given":"Insih"},{"family":"Pratidhina","given":"Elisabeth"}],"issued":{"date-parts":[["2023",12,1]]}}}],"schema":"https://github.com/citation-style-language/schema/raw/master/csl-citation.json"} </w:instrText>
      </w:r>
      <w:r w:rsidR="00985D84" w:rsidRPr="00657435">
        <w:rPr>
          <w:rFonts w:ascii="Garamond" w:hAnsi="Garamond" w:cs="Times New Roman"/>
          <w:sz w:val="26"/>
          <w:szCs w:val="26"/>
        </w:rPr>
        <w:fldChar w:fldCharType="separate"/>
      </w:r>
      <w:r w:rsidR="00985D84" w:rsidRPr="00657435">
        <w:rPr>
          <w:rFonts w:ascii="Garamond" w:hAnsi="Garamond" w:cs="Times New Roman"/>
          <w:sz w:val="26"/>
          <w:szCs w:val="26"/>
        </w:rPr>
        <w:t>Rahmat et al., 2023)</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w:t>
      </w:r>
    </w:p>
    <w:p w14:paraId="24187D32" w14:textId="18F8A213" w:rsidR="005D6637" w:rsidRPr="00657435" w:rsidRDefault="005D6637"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The autonomous use of digital media (1 article) signifies a shift in learning behaviour towards employing technology as an exploratory instrument, particularly in visual and simulated science education. Involvement in local value-based initiatives (1 article) demonstrates that student engagement is enhanced through learning environments that resonate with their experiences, hence reinforcing social ties and the material's relevance.</w:t>
      </w:r>
    </w:p>
    <w:p w14:paraId="4ECD0ACB" w14:textId="0FD874C1" w:rsidR="00A416DD" w:rsidRPr="00657435" w:rsidRDefault="00A416DD"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proofErr w:type="gramStart"/>
      <w:r w:rsidRPr="00657435">
        <w:rPr>
          <w:rFonts w:ascii="Garamond" w:hAnsi="Garamond" w:cs="Times New Roman"/>
          <w:i/>
          <w:iCs/>
          <w:sz w:val="26"/>
          <w:szCs w:val="26"/>
        </w:rPr>
        <w:t>Learning  performance</w:t>
      </w:r>
      <w:proofErr w:type="gramEnd"/>
      <w:r w:rsidRPr="00657435">
        <w:rPr>
          <w:rFonts w:ascii="Garamond" w:hAnsi="Garamond" w:cs="Times New Roman"/>
          <w:i/>
          <w:iCs/>
          <w:sz w:val="26"/>
          <w:szCs w:val="26"/>
        </w:rPr>
        <w:t xml:space="preserve"> outcomes</w:t>
      </w:r>
    </w:p>
    <w:p w14:paraId="1C21BE34" w14:textId="2DB7DB3B" w:rsidR="008D1922" w:rsidRPr="00657435" w:rsidRDefault="005D6637"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This category encompasses the effects of learning engagement that significantly enhance academic performance and conceptual understanding (7 studies). The enhancement of science learning outcomes is the most frequently cited indication (2 papers), suggesting that active participation in exploratory and discussion-oriented learning activities directly influences students' academic performance</w:t>
      </w:r>
      <w:r w:rsidR="008D1922" w:rsidRPr="00657435">
        <w:rPr>
          <w:rFonts w:ascii="Garamond" w:hAnsi="Garamond" w:cs="Times New Roman"/>
          <w:sz w:val="26"/>
          <w:szCs w:val="26"/>
        </w:rPr>
        <w:t xml:space="preserve"> (</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985D84" w:rsidRPr="00657435">
        <w:rPr>
          <w:rFonts w:ascii="Garamond" w:hAnsi="Garamond" w:cs="Times New Roman"/>
          <w:sz w:val="26"/>
          <w:szCs w:val="26"/>
        </w:rPr>
        <w:fldChar w:fldCharType="begin"/>
      </w:r>
      <w:r w:rsidR="00F3540F" w:rsidRPr="00657435">
        <w:rPr>
          <w:rFonts w:ascii="Garamond" w:hAnsi="Garamond" w:cs="Times New Roman"/>
          <w:sz w:val="26"/>
          <w:szCs w:val="26"/>
        </w:rPr>
        <w:instrText xml:space="preserve"> ADDIN ZOTERO_ITEM CSL_CITATION {"citationID":"psjjdt0H","properties":{"formattedCitation":"(Islam et al., 2021b; Putra et al., 2022b)","plainCitation":"(Islam et al., 2021b; Putra et al., 2022b)","dontUpdate":true,"noteIndex":0},"citationItems":[{"id":783,"uris":["http://zotero.org/users/local/rGxUvxsB/items/7ACH26AP"],"itemData":{"id":783,"type":"article-journal","abstract":"Students in 5.0 society education are directed to have adaptive and reactive response patterns to change through effective synergy as domain systems inaccessibility to technology in developing their skills actively and independently through critical thinking skills. Critical thinking skills as a cognitive domain in identifying, analyzing, and practical thinking and creative ways to solve problems are needed to survive in the era of global society 5.0. Therefore, teachers are required to design learning processes that can accommodate student competencies in the era of society 5.0, one of which is the implementation of the innovative Interactive Blended Problem-Based Learning (IBPBL) learning model. This study aims to determine the effect of Interactive Blended ProblemBased Learning (IBPBL) assisted by Virtual Classroom on students' critical thinking skills. This type of research is a quasi-experimental study using a posttest-only control group design. The sample in this study used 72 students in class X IPS 2 (n = 36 control class) and X IPS 3 (n = 36 experimental class), Specializing in Social Sciences, SMAN 1 Tempeh, Lumajang Regency, East Java. The data analysis technique used the independent t-test hypothesis test to determine the significance value of the difference in the average treatment given to both the control and experimental classes. The results showed an effect of Interactive Blended Problem-Based Learning (IBPBL) assisted by Virtual Classroom on the critical thinking skills of students with Sig. (2-tailed) 0.000.","container-title":"Jurnal Geografi Gea","DOI":"10.17509/gea.v21i2.38862","ISSN":"2549-7529, 1412-0313","issue":"2","journalAbbreviation":"Jurnal Pendidikan Geografi","language":"en","license":"http://creativecommons.org/licenses/by-sa/4.0","note":"number: 2","page":"135-146","source":"DOI.org (Crossref)","title":"The Effect of Interactive Blended-Problem Based Learning Assisted Virtual Classroom on Critical Thinking Skills of Students of The Society Era 5.0","volume":"21","author":[{"family":"Islam","given":"Muhammad Naufal"},{"family":"Sumarmi","given":"Sumarmi"},{"family":"Putra","given":"Alfyananda Kurnia"},{"family":"Sugiyati","given":"Pratiwi"},{"family":"Salsabilah","given":"Sabrina"}],"issued":{"date-parts":[["2021",10,31]]}}},{"id":782,"uris":["http://zotero.org/users/local/rGxUvxsB/items/7RYYDIUY"],"itemData":{"id":782,"type":"article-journal","abstract":"This article was written as a goal to find out the implementation of collaborative online learning as an effort to increase learning motivation and critical thinking skills at SD Muhammadiyah Surabaya in the era of the industrial revolution 4.0. Therefore, the development of science and technology in the 21st century, various positive and negative impacts are very complex. One of these impacts is felt in the world of education in Indonesia in the current era of conditions like today. The research method used an experiment with a quasi-experimental type. Then a quasi-experiment was carried out because not all influential variables could be tightly controlled. The research subjects were students of Muhammadiyah Elementary School in Surabaya by giving treatment in the form of Collaborative Learning Online learning model. The results showed that the level of high motivation was 35% and the level of very high motivation was 45%, so it can be stated that it was more optimal because high and very high motivation were more dominant than moderate and low. Meanwhile, critical skills were analyzed through pre-test and post-test with five indicators which totaled the pretest (60.2%) in the non-critical category and the total posttest was 87.2 in the very critical category. Based on the output of the Paired Samples Test, the value of sig (2-teiled) is 0.000. It showed that there is a significant difference in students’ knowledge between before the Online Collaborative Learning model was carried out and after the Online Collaborative Learning treatment was carried out. This meant that the provision of learning treatment about the Online Collaborative Learning model can improve students’ critical thinking.","container-title":"International Journal of Education and Social Science Research","DOI":"10.37500/IJESSR.2022.5126","ISSN":"25815148","issue":"01","journalAbbreviation":"IJESSR","language":"en","note":"number: 01","page":"313-333","source":"DOI.org (Crossref)","title":"Collaborative Learning Online Learning Model as an Effort to Improve Learning Motivation and Critical Thinking Skills at Muhammadiyah Elementary Schools of Surabaya in Society Era 5.0","volume":"05","author":[{"family":"Putra","given":"Deni Adi"},{"literal":"Mustaji"},{"family":"Arianto","given":"Fajar"},{"literal":"Asy'ari"}],"issued":{"date-parts":[["2022"]]}}}],"schema":"https://github.com/citation-style-language/schema/raw/master/csl-citation.json"} </w:instrText>
      </w:r>
      <w:r w:rsidR="00985D84" w:rsidRPr="00657435">
        <w:rPr>
          <w:rFonts w:ascii="Garamond" w:hAnsi="Garamond" w:cs="Times New Roman"/>
          <w:sz w:val="26"/>
          <w:szCs w:val="26"/>
        </w:rPr>
        <w:fldChar w:fldCharType="separate"/>
      </w:r>
      <w:r w:rsidR="00F3540F" w:rsidRPr="00657435">
        <w:rPr>
          <w:rFonts w:ascii="Garamond" w:hAnsi="Garamond" w:cs="Times New Roman"/>
          <w:sz w:val="26"/>
          <w:szCs w:val="26"/>
        </w:rPr>
        <w:t>Islam et al., 2021; Putra et al., 2022)</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Two studies shown that mastery of scientific literacy and higher-order thinking skills (HOTS) is enhanced through engagement in hard tasks, hence improving students' capacity to understand, analyse, and evaluate scientific texts</w:t>
      </w:r>
      <w:r w:rsidR="008D1922" w:rsidRPr="00657435">
        <w:rPr>
          <w:rFonts w:ascii="Garamond" w:hAnsi="Garamond" w:cs="Times New Roman"/>
          <w:sz w:val="26"/>
          <w:szCs w:val="26"/>
        </w:rPr>
        <w:t xml:space="preserve"> (</w:t>
      </w:r>
      <w:r w:rsidR="00D058C8"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985D84" w:rsidRPr="00657435">
        <w:rPr>
          <w:rFonts w:ascii="Garamond" w:hAnsi="Garamond" w:cs="Times New Roman"/>
          <w:sz w:val="26"/>
          <w:szCs w:val="26"/>
        </w:rPr>
        <w:fldChar w:fldCharType="begin"/>
      </w:r>
      <w:r w:rsidR="00AE551D" w:rsidRPr="00657435">
        <w:rPr>
          <w:rFonts w:ascii="Garamond" w:hAnsi="Garamond" w:cs="Times New Roman"/>
          <w:sz w:val="26"/>
          <w:szCs w:val="26"/>
        </w:rPr>
        <w:instrText xml:space="preserve"> ADDIN ZOTERO_ITEM CSL_CITATION {"citationID":"lQb5lR33","properties":{"formattedCitation":"(Rosidin et al., 2019; Zuhri et al., 2023b)","plainCitation":"(Rosidin et al., 2019; Zuhri et al., 2023b)","dontUpdate":true,"noteIndex":0},"citationItems":[{"id":847,"uris":["http://zotero.org/users/local/rGxUvxsB/items/MIWW28RG"],"itemData":{"id":847,"type":"article-journal","abstract":"Critical thinking skills are important in the context of 21st-century learning, where students are able to express reasons that support the assumptions or conclusions they obtain. A preliminary study at 25 Bandar Lampung Middle Schools found that science learning had not been maximized in training critical thinking skills. This study aims to determine the effect of applying the Argument-Driven Inquiry (ADI) learning model on students’ critical thinking skills based on differences in academic abilities, gender, and personality type. This study used Nonequivalent (Pretest and Posttest) Control Group Design and One-Group Pretest-Posttest Design. The data of pretest and posttest essay questions results were analyzed using nonparametric statistical tests. The results showed that there was an effect of ADI learning on critical thinking skills in high and low academic students. Moreover, this model provided a greater influence on students’ high academic abilities. The ADI model could also accommodate all male and female students with various types of personality types because the gender and personality type aspects do not show significant differences in students’ critical thinking abilities, both between male and female students and students with different personality types. Overall, the ADI model is effective in improving students’ critical thinking skills.","container-title":"Jurnal Cakrawala Pendidikan","DOI":"10.21831/cp.v38i3.24725","ISSN":"2442-8620, 0216-1370","journalAbbreviation":"CP","language":"en","page":"511-526","source":"DOI.org (Crossref)","title":"Can Argument-Driven Inquiry Models Have Impact on Critical Thinking Skills for Students with Different Personality Types?","author":[{"family":"Rosidin","given":"Undang"},{"family":"Kadaritna","given":"Nina"},{"family":"Hasnunidah","given":"Neni"}],"issued":{"date-parts":[["2019",10,24]]}}},{"id":829,"uris":["http://zotero.org/users/local/rGxUvxsB/items/2QPZZUDE"],"itemData":{"id":829,"type":"article-journal","abstract":"The paper investigates the multiple representation approach as used in elementary school science learning. A systematic literature review (SLR) method and preferred reporting items for systematic review and meta-analysis (PRISMA) protocol were employed in this research. This included systematic review stages, eligibility and exclusion criteria, review process procedures, and data abstraction and analysis assisted by Publish or Perish 7, VOSviewer, and NVivo 12 Plus applications. The search for publications on Scopus through the Publish or Perish 7 application yielded 605 publications, and for the ERIC database, there were 2018 publications, making 2623 publications. The publications were then filtered according to compatible themes and 50 were selected to be used as material for the SLR. The 50 publications were analyzed according to the assigned topics through the NVivo 12 Plus application, and the results are described in this paper. According to literature, multiple representations is a learning approach that involves using more than one or two representations. This is done by utilizing text, video, tables, audio, animation, diagrams, analogies, cartoons, movements, formulas, and graphs to reflect, interpret, and solve scientific problems in elementary science learning. The multiple representation approach is implemented through task assignment, visualization technology; representation of images, symbols, tables, pictures, and graphs; scientific investigations; engineering design; technological skills; applications; recordings; and written symbols. The impact that the multiple representation approach has in elementary science learning is an increase in reasoning skills, critical thinking skills, communication skills, solving of science problems, concern for nature conservation, and social and visual intelligence. This paper contributes to research examining multiple representations in elementary school science learning.","container-title":"International Journal of Learning, Teaching and Educational Research","DOI":"10.26803/ijlter.22.3.4","ISSN":"16942493, 16942116","issue":"3","journalAbbreviation":"IJLTER","language":"en","note":"number: 3","page":"51-73","source":"DOI.org (Crossref)","title":"Multiple Representation Approach in Elementary School Science Learning: A Systematic Literature Review","title-short":"Multiple Representation Approach in Elementary School Science Learning","volume":"22","author":[{"family":"Zuhri","given":"Rois Saifuddin"},{"family":"Wilujeng","given":"Insih"},{"family":"Haryanto","given":"Haryanto"}],"issued":{"date-parts":[["2023",3,30]]}}}],"schema":"https://github.com/citation-style-language/schema/raw/master/csl-citation.json"} </w:instrText>
      </w:r>
      <w:r w:rsidR="00985D84" w:rsidRPr="00657435">
        <w:rPr>
          <w:rFonts w:ascii="Garamond" w:hAnsi="Garamond" w:cs="Times New Roman"/>
          <w:sz w:val="26"/>
          <w:szCs w:val="26"/>
        </w:rPr>
        <w:fldChar w:fldCharType="separate"/>
      </w:r>
      <w:r w:rsidR="00985D84" w:rsidRPr="00657435">
        <w:rPr>
          <w:rFonts w:ascii="Garamond" w:hAnsi="Garamond" w:cs="Times New Roman"/>
          <w:sz w:val="26"/>
          <w:szCs w:val="26"/>
        </w:rPr>
        <w:t>Rosidin et al., 2019; Zuhri et al., 2023)</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w:t>
      </w:r>
    </w:p>
    <w:p w14:paraId="732AABD3" w14:textId="363F0FEF" w:rsidR="008D1922" w:rsidRPr="00657435" w:rsidRDefault="005D6637" w:rsidP="00657435">
      <w:pPr>
        <w:pStyle w:val="ListParagraph"/>
        <w:tabs>
          <w:tab w:val="left" w:pos="142"/>
          <w:tab w:val="left" w:pos="284"/>
          <w:tab w:val="left" w:pos="426"/>
          <w:tab w:val="left" w:pos="1088"/>
        </w:tabs>
        <w:spacing w:after="0" w:line="240" w:lineRule="auto"/>
        <w:ind w:left="0"/>
        <w:jc w:val="both"/>
        <w:rPr>
          <w:rFonts w:ascii="Garamond" w:hAnsi="Garamond" w:cs="Times New Roman"/>
          <w:sz w:val="26"/>
          <w:szCs w:val="26"/>
        </w:rPr>
      </w:pPr>
      <w:r w:rsidRPr="00657435">
        <w:rPr>
          <w:rFonts w:ascii="Garamond" w:hAnsi="Garamond" w:cs="Times New Roman"/>
          <w:sz w:val="26"/>
          <w:szCs w:val="26"/>
        </w:rPr>
        <w:t xml:space="preserve">Furthermore, the efficacy of learning media was identified in one paper, suggesting that learning engagement is influenced by the quality of the educational resources employed </w:t>
      </w:r>
      <w:r w:rsidR="008D1922" w:rsidRPr="00657435">
        <w:rPr>
          <w:rFonts w:ascii="Garamond" w:hAnsi="Garamond" w:cs="Times New Roman"/>
          <w:sz w:val="26"/>
          <w:szCs w:val="26"/>
        </w:rPr>
        <w:t>(</w:t>
      </w:r>
      <w:r w:rsidR="00D058C8" w:rsidRPr="00657435">
        <w:rPr>
          <w:rFonts w:ascii="Garamond" w:hAnsi="Garamond" w:cs="Times New Roman"/>
          <w:sz w:val="26"/>
          <w:szCs w:val="26"/>
        </w:rPr>
        <w:t>e.g.</w:t>
      </w:r>
      <w:r w:rsidR="008D1922" w:rsidRPr="00657435">
        <w:rPr>
          <w:rFonts w:ascii="Garamond" w:hAnsi="Garamond" w:cs="Times New Roman"/>
          <w:sz w:val="26"/>
          <w:szCs w:val="26"/>
        </w:rPr>
        <w:t xml:space="preserve">, </w:t>
      </w:r>
      <w:proofErr w:type="spellStart"/>
      <w:r w:rsidR="008D1922" w:rsidRPr="00657435">
        <w:rPr>
          <w:rFonts w:ascii="Garamond" w:hAnsi="Garamond" w:cs="Times New Roman"/>
          <w:sz w:val="26"/>
          <w:szCs w:val="26"/>
        </w:rPr>
        <w:t>Syahril</w:t>
      </w:r>
      <w:proofErr w:type="spellEnd"/>
      <w:r w:rsidR="008D1922" w:rsidRPr="00657435">
        <w:rPr>
          <w:rFonts w:ascii="Garamond" w:hAnsi="Garamond" w:cs="Times New Roman"/>
          <w:sz w:val="26"/>
          <w:szCs w:val="26"/>
        </w:rPr>
        <w:t xml:space="preserve"> et al., 2025). </w:t>
      </w:r>
      <w:r w:rsidRPr="00657435">
        <w:rPr>
          <w:rFonts w:ascii="Garamond" w:hAnsi="Garamond" w:cs="Times New Roman"/>
          <w:sz w:val="26"/>
          <w:szCs w:val="26"/>
        </w:rPr>
        <w:t>The significance of local culture in the comprehension of scientific concepts was highlighted in two studies, underscoring the necessity of contextual learning that integrates local values as a facilitator of students' reflective scientific understanding</w:t>
      </w:r>
      <w:r w:rsidR="008D1922" w:rsidRPr="00657435">
        <w:rPr>
          <w:rFonts w:ascii="Garamond" w:hAnsi="Garamond" w:cs="Times New Roman"/>
          <w:sz w:val="26"/>
          <w:szCs w:val="26"/>
        </w:rPr>
        <w:t>.</w:t>
      </w:r>
    </w:p>
    <w:p w14:paraId="376EED79" w14:textId="350717FE" w:rsidR="00A416DD" w:rsidRPr="00657435" w:rsidRDefault="005D6637" w:rsidP="00657435">
      <w:pPr>
        <w:pStyle w:val="ListParagraph"/>
        <w:numPr>
          <w:ilvl w:val="0"/>
          <w:numId w:val="6"/>
        </w:numPr>
        <w:tabs>
          <w:tab w:val="left" w:pos="142"/>
          <w:tab w:val="left" w:pos="284"/>
          <w:tab w:val="left" w:pos="426"/>
          <w:tab w:val="left" w:pos="1088"/>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systemic implications</w:t>
      </w:r>
    </w:p>
    <w:p w14:paraId="3E767BB0" w14:textId="7DF20C24" w:rsidR="008D1922" w:rsidRPr="00657435" w:rsidRDefault="005D6637"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 xml:space="preserve">This category pertains to the systemic effects of student learning engagement, influencing the emergence of educational innovations, research advancement, and adaptations to digital transformation in primary education (7 studies). The predominant outcome of innovation in learning models, as evidenced by four papers, is that active student engagement fosters the development of novel instructional methodologies, including STEM, Project-Based Learning (PBL), and Discovery Learning. These methodologies emerge as a response to the demand for enhanced reflective, collaborative, and contextual learning in the 21st century </w:t>
      </w:r>
      <w:r w:rsidR="008D1922" w:rsidRPr="00657435">
        <w:rPr>
          <w:rFonts w:ascii="Garamond" w:hAnsi="Garamond" w:cs="Times New Roman"/>
          <w:sz w:val="26"/>
          <w:szCs w:val="26"/>
        </w:rPr>
        <w:t>(</w:t>
      </w:r>
      <w:r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985D84" w:rsidRPr="00657435">
        <w:rPr>
          <w:rFonts w:ascii="Garamond" w:hAnsi="Garamond" w:cs="Times New Roman"/>
          <w:sz w:val="26"/>
          <w:szCs w:val="26"/>
        </w:rPr>
        <w:fldChar w:fldCharType="begin"/>
      </w:r>
      <w:r w:rsidR="00D058C8" w:rsidRPr="00657435">
        <w:rPr>
          <w:rFonts w:ascii="Garamond" w:hAnsi="Garamond" w:cs="Times New Roman"/>
          <w:sz w:val="26"/>
          <w:szCs w:val="26"/>
        </w:rPr>
        <w:instrText xml:space="preserve"> ADDIN ZOTERO_ITEM CSL_CITATION {"citationID":"ap8bQ8kF","properties":{"formattedCitation":"(Chusni et al., 2022; Rosidin et al., 2019; Suwardika et al., 2024b)","plainCitation":"(Chusni et al., 2022; Rosidin et al., 2019; Suwardika et al., 2024b)","dontUpdate":true,"noteIndex":0},"citationItems":[{"id":819,"uris":["http://zotero.org/users/local/rGxUvxsB/items/XVKJMXEB"],"itemData":{"id":819,"type":"article-journal","abstract":"This study aimed to measure the effectiveness of the Discovery-based Multiple Representation (DMR) learning model that use to improve student critical thinking skills (CTS) of students on environmental change material. This study used the pre-experiment method, with a one-group pretest-posttest design. The populace of this study was students in MTs 2 Sleman. The sample was selected by a random sampling technique amounting to 60 people. The instrument used to collect data on critical thinking capability was an essay test to measure the effectiveness of the DMR learning model in increasing students' CTS. The data analysis technique used paired sample t-test with (p= .05) to test the effectiveness of the DMR learning model. The results showed that the DMR learning model increased student CTS significantly in natural science learning. The normalized gain value of 0.25 indicates the enhancement of student CTS at the middle category. Thus, the DMR learning model is useful as an alternative to improve students' CTS on environmental change topics.","container-title":"International Journal of Instruction","DOI":"10.29333/iji.2022.15153a","ISSN":"1694609X, 13081470","issue":"1","journalAbbreviation":"INT J INSTRUCTION","language":"en","note":"number: 1","page":"927-944","source":"DOI.org (Crossref)","title":"Enhancing Critical Thinking Skills of Junior High School Students through Discovery-Based Multiple Representations Learning Model","volume":"15","author":[{"family":"Chusni","given":"Muhammad Minan"},{"family":"Saputro","given":"Sulistyo"},{"literal":"Doctoral Program in Natural Science Education, Universitas Sebelas Maret, Surakarta, Indonesia, sulistyo_s@staff.uns.ac.id"},{"family":"Suranto","given":"Suranto"},{"literal":"Doctoral Program in Natural Science Education, Universitas Sebelas Maret, Surakarta, Indonesia, suranto57@staff.uns.ac.id"},{"family":"Rahardjo","given":"Sentot Budi"},{"literal":"Doctoral Program in Natural Science Education, Universitas Sebelas Maret, Surakarta, Indonesia, sentotbr@staff.uns.ac.id"}],"issued":{"date-parts":[["2022",1,1]]}}},{"id":847,"uris":["http://zotero.org/users/local/rGxUvxsB/items/MIWW28RG"],"itemData":{"id":847,"type":"article-journal","abstract":"Critical thinking skills are important in the context of 21st-century learning, where students are able to express reasons that support the assumptions or conclusions they obtain. A preliminary study at 25 Bandar Lampung Middle Schools found that science learning had not been maximized in training critical thinking skills. This study aims to determine the effect of applying the Argument-Driven Inquiry (ADI) learning model on students’ critical thinking skills based on differences in academic abilities, gender, and personality type. This study used Nonequivalent (Pretest and Posttest) Control Group Design and One-Group Pretest-Posttest Design. The data of pretest and posttest essay questions results were analyzed using nonparametric statistical tests. The results showed that there was an effect of ADI learning on critical thinking skills in high and low academic students. Moreover, this model provided a greater influence on students’ high academic abilities. The ADI model could also accommodate all male and female students with various types of personality types because the gender and personality type aspects do not show significant differences in students’ critical thinking abilities, both between male and female students and students with different personality types. Overall, the ADI model is effective in improving students’ critical thinking skills.","container-title":"Jurnal Cakrawala Pendidikan","DOI":"10.21831/cp.v38i3.24725","ISSN":"2442-8620, 0216-1370","journalAbbreviation":"CP","language":"en","page":"511-526","source":"DOI.org (Crossref)","title":"Can Argument-Driven Inquiry Models Have Impact on Critical Thinking Skills for Students with Different Personality Types?","author":[{"family":"Rosidin","given":"Undang"},{"family":"Kadaritna","given":"Nina"},{"family":"Hasnunidah","given":"Neni"}],"issued":{"date-parts":[["2019",10,24]]}}},{"id":846,"uris":["http://zotero.org/users/local/rGxUvxsB/items/3VAZNZLZ"],"itemData":{"id":846,"type":"article-journal","abstract":"Purpose – In the era of Industry 4.0, the relevance of webinar tutorials, a form of distance learning, is paramount. These tutorials can catalyze self-regulated learning, critical thinking and communication skills, especially for prospective and in-service teachers pursuing higher education. This paper aims to develop a conceptual framework and report the results of implementing a flipped classroom with whiteboard animation and modules. This innovative approach seeks to enhance students’ self-regulation, critical thinking and communication abilities.","container-title":"Asian Association of Open Universities Journal","DOI":"10.1108/AAOUJ-10-2023-0115","ISSN":"1858-3431, 2414-6994","issue":"2","journalAbbreviation":"AAOUJ","language":"en","license":"https://www.emerald.com/insight/site-policies","note":"number: 2","page":"135-152","source":"DOI.org (Crossref)","title":"A flipped classroom with whiteboard animation and modules to enhance students' self-regulation, critical thinking and communication skills: a conceptual framework and its implementation","title-short":"A flipped classroom with whiteboard animation and modules to enhance students' self-regulation, critical thinking and communication skills","volume":"19","author":[{"family":"Suwardika","given":"Gede"},{"family":"Sopandi","given":"Agus Tatang"},{"family":"Indrawan","given":"I. Putu Oktap"},{"family":"Masakazu","given":"Kadek"}],"issued":{"date-parts":[["2024",9,26]]}}}],"schema":"https://github.com/citation-style-language/schema/raw/master/csl-citation.json"} </w:instrText>
      </w:r>
      <w:r w:rsidR="00985D84" w:rsidRPr="00657435">
        <w:rPr>
          <w:rFonts w:ascii="Garamond" w:hAnsi="Garamond" w:cs="Times New Roman"/>
          <w:sz w:val="26"/>
          <w:szCs w:val="26"/>
        </w:rPr>
        <w:fldChar w:fldCharType="separate"/>
      </w:r>
      <w:r w:rsidR="00831D20" w:rsidRPr="00657435">
        <w:rPr>
          <w:rFonts w:ascii="Garamond" w:hAnsi="Garamond" w:cs="Times New Roman"/>
          <w:sz w:val="26"/>
          <w:szCs w:val="26"/>
        </w:rPr>
        <w:t>Chusni et al., 2022; Rosidin et al., 2019; Suwardika et al., 2024)</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w:t>
      </w:r>
    </w:p>
    <w:p w14:paraId="4BB46BBB" w14:textId="7660B7A9" w:rsidR="005D6637" w:rsidRPr="00657435" w:rsidRDefault="005777B8"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The repercussions for research development also emerged, as evidenced in one study indicating that student learning engagement can stimulate the design of pedagogical models and media with potential for replication and broader empirical validation </w:t>
      </w:r>
      <w:r w:rsidR="008D1922" w:rsidRPr="00657435">
        <w:rPr>
          <w:rFonts w:ascii="Garamond" w:hAnsi="Garamond" w:cs="Times New Roman"/>
          <w:sz w:val="26"/>
          <w:szCs w:val="26"/>
        </w:rPr>
        <w:t>(</w:t>
      </w:r>
      <w:r w:rsidR="005D6637" w:rsidRPr="00657435">
        <w:rPr>
          <w:rFonts w:ascii="Garamond" w:hAnsi="Garamond" w:cs="Times New Roman"/>
          <w:sz w:val="26"/>
          <w:szCs w:val="26"/>
        </w:rPr>
        <w:t>e.g.</w:t>
      </w:r>
      <w:r w:rsidR="008D1922" w:rsidRPr="00657435">
        <w:rPr>
          <w:rFonts w:ascii="Garamond" w:hAnsi="Garamond" w:cs="Times New Roman"/>
          <w:sz w:val="26"/>
          <w:szCs w:val="26"/>
        </w:rPr>
        <w:t xml:space="preserve">, </w:t>
      </w:r>
      <w:r w:rsidR="00985D84"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{"citationID":"Drhi0Cu7","properties":{"formattedCitation":"(Saputro et al., 2020)","plainCitation":"(Saputro et al., 2020)","dontUpdate":true,"noteIndex":0},"citationItems":[{"id":820,"uris":["http://zotero.org/users/local/rGxUvxsB/items/CPKVDM33"],"itemData":{"id":820,"type":"article-journal","abstract":"Self-efficacy and critical thinking represent two vital components for university graduates in the 21st century learning. However, several studies reported that these two important outcome predictors were unsatisfactory. This study aimed at investigating the effects of problem-based learning (PBL) on pre-service teachers’ self-efficacy and critical thinking. A quasiexperimental nonequivalent pretest-posttest control group design was utilized. A total of 44 pre-service elementary school teachers (aged 19-22) at a private university in Indonesia were assigned as experimental (n = 22) and control (n = 22) groups. The experimental group learning received PBL, while the control group learning with traditional college instruction. The Self-Efficacy Scale (SES) and the Critical Thinking Questionnaire (CTQ) were administered before and after the intervention in both groups. Independent and paired samples t-tests were employed to analyze the pretests and posttests data. The results indicated that PBL was more effective in increasing self-efficacy and critical thinking of pre-service elementary teachers than traditional teaching. It is suggested that PBL should be used more frequently in science learning to further enhance students’ self-efficacy and critical thinking skills in higher education.","container-title":"European Journal of Educational Research","DOI":"10.12973/eu-jer.9.2.765","ISSN":"21658714, 21658714","issue":"volume-9-issue-2-april-2020","journalAbbreviation":"EUROPEAN J ED RES","language":"en","note":"number: volume-9-issue-2-april-2020","page":"765-773","source":"DOI.org (Crossref)","title":"Enhancing Pre-Service Elementary Teachers’ Self-Efficacy and Critical Thinking using Problem-Based Learning","volume":"volume-9-2020","author":[{"family":"Saputro","given":"Anip Dwi"},{"family":"Atun","given":"Sri"},{"family":"Wilujeng","given":"Insih"},{"family":"Ariyanto","given":"Ayok"},{"family":"Arifin","given":"Syamsul"}],"issued":{"date-parts":[["2020",4,15]]}}}],"schema":"https://github.com/citation-style-language/schema/raw/master/csl-citation.json"} </w:instrText>
      </w:r>
      <w:r w:rsidR="00985D84" w:rsidRPr="00657435">
        <w:rPr>
          <w:rFonts w:ascii="Garamond" w:hAnsi="Garamond" w:cs="Times New Roman"/>
          <w:sz w:val="26"/>
          <w:szCs w:val="26"/>
        </w:rPr>
        <w:fldChar w:fldCharType="separate"/>
      </w:r>
      <w:r w:rsidR="00985D84" w:rsidRPr="00657435">
        <w:rPr>
          <w:rFonts w:ascii="Garamond" w:hAnsi="Garamond" w:cs="Times New Roman"/>
          <w:sz w:val="26"/>
          <w:szCs w:val="26"/>
        </w:rPr>
        <w:t>Saputro et al., 2020)</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 xml:space="preserve">. </w:t>
      </w:r>
      <w:r w:rsidRPr="00657435">
        <w:rPr>
          <w:rFonts w:ascii="Garamond" w:hAnsi="Garamond" w:cs="Times New Roman"/>
          <w:sz w:val="26"/>
          <w:szCs w:val="26"/>
        </w:rPr>
        <w:t xml:space="preserve">Simultaneously, research on learning in the Society 5.0 era and the digitalisation of education underscores that engagement functions as a catalyst for systemic transformation in </w:t>
      </w:r>
      <w:r w:rsidR="00EE6102" w:rsidRPr="00657435">
        <w:rPr>
          <w:rFonts w:ascii="Garamond" w:hAnsi="Garamond" w:cs="Times New Roman"/>
          <w:sz w:val="26"/>
          <w:szCs w:val="26"/>
        </w:rPr>
        <w:t>elementary education</w:t>
      </w:r>
      <w:r w:rsidRPr="00657435">
        <w:rPr>
          <w:rFonts w:ascii="Garamond" w:hAnsi="Garamond" w:cs="Times New Roman"/>
          <w:sz w:val="26"/>
          <w:szCs w:val="26"/>
        </w:rPr>
        <w:t>, enabling schools to adapt to the demands of technological disruption, artificial intelligence, and digital integration. Thus, student engagement not only affects individual cognitive and performance outcomes but also plays a strategic role in shaping an innovative, future-responsive, and digitally empowered educational ecosystem</w:t>
      </w:r>
      <w:r w:rsidR="005D6637" w:rsidRPr="00657435">
        <w:rPr>
          <w:rFonts w:ascii="Garamond" w:hAnsi="Garamond" w:cs="Times New Roman"/>
          <w:sz w:val="26"/>
          <w:szCs w:val="26"/>
        </w:rPr>
        <w:t>.</w:t>
      </w:r>
    </w:p>
    <w:p w14:paraId="60B416F6" w14:textId="77777777" w:rsidR="005D6637" w:rsidRPr="00657435" w:rsidRDefault="005D6637" w:rsidP="00657435">
      <w:pPr>
        <w:tabs>
          <w:tab w:val="left" w:pos="142"/>
          <w:tab w:val="left" w:pos="284"/>
          <w:tab w:val="left" w:pos="426"/>
        </w:tabs>
        <w:spacing w:after="0" w:line="240" w:lineRule="auto"/>
        <w:jc w:val="both"/>
        <w:rPr>
          <w:rFonts w:ascii="Garamond" w:hAnsi="Garamond" w:cs="Times New Roman"/>
          <w:noProof/>
          <w:sz w:val="26"/>
          <w:szCs w:val="26"/>
        </w:rPr>
      </w:pPr>
    </w:p>
    <w:p w14:paraId="52ACB5B5" w14:textId="67E40355" w:rsidR="00DA7CDB" w:rsidRPr="00657435" w:rsidRDefault="00657435" w:rsidP="00657435">
      <w:pPr>
        <w:pStyle w:val="ListParagraph"/>
        <w:numPr>
          <w:ilvl w:val="0"/>
          <w:numId w:val="1"/>
        </w:numPr>
        <w:tabs>
          <w:tab w:val="left" w:pos="142"/>
          <w:tab w:val="left" w:pos="284"/>
          <w:tab w:val="left" w:pos="426"/>
        </w:tabs>
        <w:spacing w:after="0" w:line="240" w:lineRule="auto"/>
        <w:ind w:left="0" w:firstLine="0"/>
        <w:jc w:val="center"/>
        <w:rPr>
          <w:rFonts w:ascii="Garamond" w:hAnsi="Garamond" w:cs="Times New Roman"/>
          <w:b/>
          <w:bCs/>
          <w:noProof/>
          <w:sz w:val="26"/>
          <w:szCs w:val="26"/>
        </w:rPr>
      </w:pPr>
      <w:r w:rsidRPr="00657435">
        <w:rPr>
          <w:rFonts w:ascii="Garamond" w:hAnsi="Garamond" w:cs="Times New Roman"/>
          <w:noProof/>
          <w:sz w:val="26"/>
          <w:szCs w:val="26"/>
        </w:rPr>
        <w:t>DISCUSSION</w:t>
      </w:r>
    </w:p>
    <w:p w14:paraId="691FAD89" w14:textId="77777777" w:rsidR="00657435" w:rsidRPr="00657435" w:rsidRDefault="00657435" w:rsidP="00657435">
      <w:pPr>
        <w:pStyle w:val="ListParagraph"/>
        <w:numPr>
          <w:ilvl w:val="0"/>
          <w:numId w:val="1"/>
        </w:numPr>
        <w:tabs>
          <w:tab w:val="left" w:pos="142"/>
          <w:tab w:val="left" w:pos="284"/>
          <w:tab w:val="left" w:pos="426"/>
        </w:tabs>
        <w:spacing w:after="0" w:line="240" w:lineRule="auto"/>
        <w:ind w:left="0" w:firstLine="0"/>
        <w:jc w:val="center"/>
        <w:rPr>
          <w:rFonts w:ascii="Garamond" w:hAnsi="Garamond" w:cs="Times New Roman"/>
          <w:b/>
          <w:bCs/>
          <w:noProof/>
          <w:sz w:val="26"/>
          <w:szCs w:val="26"/>
        </w:rPr>
      </w:pPr>
    </w:p>
    <w:p w14:paraId="466B7C28" w14:textId="44F41351" w:rsidR="008D1922" w:rsidRPr="00657435" w:rsidRDefault="008D1922" w:rsidP="00657435">
      <w:pPr>
        <w:pStyle w:val="ListParagraph"/>
        <w:numPr>
          <w:ilvl w:val="0"/>
          <w:numId w:val="7"/>
        </w:numPr>
        <w:tabs>
          <w:tab w:val="left" w:pos="142"/>
          <w:tab w:val="left" w:pos="284"/>
          <w:tab w:val="left" w:pos="426"/>
        </w:tabs>
        <w:spacing w:after="0" w:line="240" w:lineRule="auto"/>
        <w:ind w:left="0" w:firstLine="0"/>
        <w:jc w:val="both"/>
        <w:rPr>
          <w:rFonts w:ascii="Garamond" w:hAnsi="Garamond" w:cs="Times New Roman"/>
          <w:i/>
          <w:iCs/>
          <w:noProof/>
          <w:sz w:val="26"/>
          <w:szCs w:val="26"/>
        </w:rPr>
      </w:pPr>
      <w:r w:rsidRPr="00657435">
        <w:rPr>
          <w:rFonts w:ascii="Garamond" w:hAnsi="Garamond" w:cs="Times New Roman"/>
          <w:i/>
          <w:iCs/>
          <w:sz w:val="26"/>
          <w:szCs w:val="26"/>
        </w:rPr>
        <w:t>Key findings</w:t>
      </w:r>
    </w:p>
    <w:p w14:paraId="6CB2EE84" w14:textId="42BC3EC6"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This bibliometric analysis reveals a notable surge in scholarly publications on learning within the Society 5.0 era, particularly after 2020. This increase is largely driven by global disruptions, most notably the COVID-19 pandemic, which redefined education as a </w:t>
      </w:r>
      <w:r w:rsidRPr="00657435">
        <w:rPr>
          <w:rFonts w:ascii="Garamond" w:hAnsi="Garamond" w:cs="Times New Roman"/>
          <w:sz w:val="26"/>
          <w:szCs w:val="26"/>
        </w:rPr>
        <w:lastRenderedPageBreak/>
        <w:t>mechanism for systemic resilience rather than mere knowledge transmission. Contemporary discourse has progressively shifted toward themes such as artificial intelligence, hybrid learning, and social-emotional competencies, marking an epistemological shift toward adaptive, learner-</w:t>
      </w:r>
      <w:proofErr w:type="spellStart"/>
      <w:r w:rsidRPr="00657435">
        <w:rPr>
          <w:rFonts w:ascii="Garamond" w:hAnsi="Garamond" w:cs="Times New Roman"/>
          <w:sz w:val="26"/>
          <w:szCs w:val="26"/>
        </w:rPr>
        <w:t>centered</w:t>
      </w:r>
      <w:proofErr w:type="spellEnd"/>
      <w:r w:rsidRPr="00657435">
        <w:rPr>
          <w:rFonts w:ascii="Garamond" w:hAnsi="Garamond" w:cs="Times New Roman"/>
          <w:sz w:val="26"/>
          <w:szCs w:val="26"/>
        </w:rPr>
        <w:t xml:space="preserve"> educational systems. A critical finding is the significant contribution from emerging nations, especially Indonesia, which currently leads in publication volume. This phenomenon reflects the intensification of national initiatives including curriculum reform and digital transformation coupled with growing academic mobilisation to advance SDG 4 (Quality Education). However, this quantitative productivity has not been matched by proportional global academic influence, due to persistent barriers such as linguistic limitations, restricted access to high-impact journals, and the continued reliance on descriptive and fragmented methodologies that hinder robust theoretical development.</w:t>
      </w:r>
    </w:p>
    <w:p w14:paraId="6A581DAD" w14:textId="5FB2E2C8" w:rsidR="005D6637" w:rsidRPr="00657435" w:rsidRDefault="005D6637"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The thematic progression observed in the keyword analysis signifies an ontological realignment in educational research. The co-occurrence pattern signifies a transition from digital learning as a mere instrument to learning within a digital society as an overarching paradigm. Concepts like STEM-PBL integration, learning analytics, Society 5.0, and educational innovation are becoming more established in response to the requirements of a progressively digitalised and automated environment. Nonetheless, it is important to acknowledge that this intellectual growth also entails the potential for conceptual ambiguity and operational overlap, particularly in research emerging from developing nations. The absence of a standardised definition and thorough examination of ethical, socio-cultural, and inclusive dimensions may lead to theoretical dilution over time.</w:t>
      </w:r>
    </w:p>
    <w:p w14:paraId="22D68A86" w14:textId="77777777" w:rsidR="005D6637" w:rsidRPr="00657435" w:rsidRDefault="005D6637"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Moreover, the prevailing narrative of technology optimism frequently overlooks structural obstacles, such the digital divide, pedagogical preparedness, and institutional inertia that continue to impede the adoption of innovative learning methods. Literature from emerging contexts often prioritises the outcomes of innovation, such as media and educational models, above the assessment of systemic obstacles or enduring transformative effects in education.</w:t>
      </w:r>
    </w:p>
    <w:p w14:paraId="75D602D2" w14:textId="3563DC36" w:rsidR="008D1922" w:rsidRPr="00657435" w:rsidRDefault="005D6637"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This study affirms that while developing nations like Indonesia have become significant contributors to the global dialogue on learning in the Society 5.0 era, their status as epistemic authorities requires enhancement. This can solely be accomplished by enhancing methodological rigour, theoretical profundity, and fostering more extensive international collaboration. Future research must progress beyond simple technological adaptation to an integrative knowledge framework that situates educational innovation within cultural contexts, emphasises equity, and addresses forthcoming difficulties.</w:t>
      </w:r>
    </w:p>
    <w:p w14:paraId="29185322" w14:textId="77777777" w:rsidR="00D40C17" w:rsidRPr="00657435" w:rsidRDefault="005D6637"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The topic of Society 5.0 in the research domain was initially extensively examined within the framework of Science, Technology, Engineering, and Mathematics (STEM), particularly concerning technological advancement, artificial intelligence, and digital transformation in industrial and governmental sectors. In the past decade, scholarly focus has increasingly turned to educational transformation, particularly regarding the integration of Society 5.0 ideas inside the learning system to address 21st-century challenges. This advancement has fostered the emergence of a novel discourse around student engagement, critical thinking, and the integration of technology in elementary education.</w:t>
      </w:r>
    </w:p>
    <w:p w14:paraId="70EED266" w14:textId="5B7B6D2E" w:rsidR="005D6637" w:rsidRPr="00657435" w:rsidRDefault="005D6637"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We conducted an exhaustive selection procedure and systematic abstraction, thoroughly reviewing 34 pertinent scientific papers utilising the Systematic Literature Review (SLR) methodology in accordance with the PRISMA protocol. This analysis delineates empirical data while also outlining theoretical, methodological directions, and conceptual consequences regarding scientific learning engagement in the digital age and Society 5.0.</w:t>
      </w:r>
    </w:p>
    <w:p w14:paraId="478D686C" w14:textId="77777777" w:rsidR="007E3298" w:rsidRPr="00657435" w:rsidRDefault="007E3298"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This systematic review highlights the dominance of quantitative methodologies, particularly descriptive and quasi-experimental designs, in exploring student engagement </w:t>
      </w:r>
      <w:r w:rsidRPr="00657435">
        <w:rPr>
          <w:rFonts w:ascii="Garamond" w:hAnsi="Garamond" w:cs="Times New Roman"/>
          <w:sz w:val="26"/>
          <w:szCs w:val="26"/>
        </w:rPr>
        <w:lastRenderedPageBreak/>
        <w:t>and critical thinking within primary science education. These approaches often conceptualize engagement as a fixed trait aimed at measurable outcomes, rather than a dynamic process that unfolds through time and interaction. The limited presence of longitudinal and ethnographic studies restricts the understanding of engagement as a lived experience shaped by classroom culture, social dynamics, and the use of learning technologies.</w:t>
      </w:r>
    </w:p>
    <w:p w14:paraId="16EBDEB7" w14:textId="77777777" w:rsidR="007E3298" w:rsidRPr="00657435" w:rsidRDefault="007E3298"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From a theoretical standpoint, the literature reveals conceptual fragmentation. Although studies frequently cite frameworks such as constructivism, inquiry learning, metacognition, STEM, and Project-Based Learning, these are typically applied in isolated ways and lack integration into cohesive theoretical models. The absence of hybrid approaches that combine cognitive and sociocultural perspectives, such as Self-Determination Theory and Vygotsky’s sociocultural mediation, results in an overemphasis on individual factors and underrepresentation of contextual influences like peer interaction, institutional culture, and digital environments.</w:t>
      </w:r>
    </w:p>
    <w:p w14:paraId="3DA578FB" w14:textId="15AC47A8" w:rsidR="008D1922" w:rsidRPr="00657435" w:rsidRDefault="007E3298"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The analysis of antecedents indicates a strong focus on internal learner attributes, including motivation, emotional engagement, and academic self-concept, while overlooking structural determinants such as curriculum constraints, institutional support, and teacher leadership. Evidence from recent studies shows that engagement is profoundly affected by policy, pedagogical autonomy, and school-level barriers. The consequences of meaningful engagement are equally significant, leading to improved learning outcomes and fostering the use of innovative pedagogies such as STEM and discovery learning. These findings underscore the need to reconceptualize engagement as a multidimensional construct, situated at the intersection of psychological, instructional, and systemic domains </w:t>
      </w:r>
      <w:r w:rsidR="00985D84" w:rsidRPr="00657435">
        <w:rPr>
          <w:rFonts w:ascii="Garamond" w:hAnsi="Garamond" w:cs="Times New Roman"/>
          <w:sz w:val="26"/>
          <w:szCs w:val="26"/>
        </w:rPr>
        <w:fldChar w:fldCharType="begin"/>
      </w:r>
      <w:r w:rsidR="00D058C8" w:rsidRPr="00657435">
        <w:rPr>
          <w:rFonts w:ascii="Garamond" w:hAnsi="Garamond" w:cs="Times New Roman"/>
          <w:sz w:val="26"/>
          <w:szCs w:val="26"/>
        </w:rPr>
        <w:instrText xml:space="preserve"> ADDIN ZOTERO_ITEM CSL_CITATION {"citationID":"WyJ6cmFj","properties":{"formattedCitation":"(Septiadevana &amp; Abdullah, 2024; Suwardika et al., 2024; Syawaludin et al., 2019)","plainCitation":"(Septiadevana &amp; Abdullah, 2024; Suwardika et al., 2024; Syawaludin et al., 2019)","noteIndex":0},"citationItems":[{"id":849,"uris":["http://zotero.org/users/local/rGxUvxsB/items/MJQCGBH7"],"itemData":{"id":849,"type":"article-journal","abstract":"The integration of science, technology, engineering, and mathematics (STEM) with project-based learning is beneficial in facilitating students to compete effectively in the 21st century, but teachers still encounter obstacles, so in implementation, especially in primary schools, is still rarely done. Therefore, it is necessary to develop STEM project-based learning module to overcome teacher problems. This study aims to collect and analyze teacher perspectives regarding their requirements for the development of STEM project-based learning module. This study was conducted using a design and developmental research (DDR) approach. The first phase included need analysis, carried out through an online questionnaire. The participants consisted of 397 teachers in Cirebon and the results showed that primary school teachers required STEM project-based learning module to facilitate the development of relevant skills in the 21st century, such as scientific literacy and critical thinking. Based on the data collected, the most difficult topic and the topic with the highest forms of misconceptions appeared to be human body organ systems, with a percentage value of 21.16% and matter and change, with a percentage at 21.41%. STEM project-based learning module for primary school level can be developed for various topics such as human body organs or matter and changes.","container-title":"International Journal of Evaluation and Research in Education (IJERE)","DOI":"10.11591/ijere.v13i4.28894","ISSN":"2620-5440, 2252-8822","issue":"4","journalAbbreviation":"IJERE","language":"en","license":"http://creativecommons.org/licenses/by-nc/4.0","note":"number: 4","page":"2585","source":"DOI.org (Crossref)","title":"Developing STEM project-based learning module for primary school teachers: a need analysis","title-short":"Developing STEM project-based learning module for primary school teachers","volume":"13","author":[{"family":"Septiadevana","given":"Riski"},{"family":"Abdullah","given":"Norazilawati"}],"issued":{"date-parts":[["2024",8,1]]}}},{"id":846,"uris":["http://zotero.org/users/local/rGxUvxsB/items/3VAZNZLZ"],"itemData":{"id":846,"type":"article-journal","abstract":"Purpose – In the era of Industry 4.0, the relevance of webinar tutorials, a form of distance learning, is paramount. These tutorials can catalyze self-regulated learning, critical thinking and communication skills, especially for prospective and in-service teachers pursuing higher education. This paper aims to develop a conceptual framework and report the results of implementing a flipped classroom with whiteboard animation and modules. This innovative approach seeks to enhance students’ self-regulation, critical thinking and communication abilities.","container-title":"Asian Association of Open Universities Journal","DOI":"10.1108/AAOUJ-10-2023-0115","ISSN":"1858-3431, 2414-6994","issue":"2","journalAbbreviation":"AAOUJ","language":"en","license":"https://www.emerald.com/insight/site-policies","note":"number: 2","page":"135-152","source":"DOI.org (Crossref)","title":"A flipped classroom with whiteboard animation and modules to enhance students' self-regulation, critical thinking and communication skills: a conceptual framework and its implementation","title-short":"A flipped classroom with whiteboard animation and modules to enhance students' self-regulation, critical thinking and communication skills","volume":"19","author":[{"family":"Suwardika","given":"Gede"},{"family":"Sopandi","given":"Agus Tatang"},{"family":"Indrawan","given":"I. Putu Oktap"},{"family":"Masakazu","given":"Kadek"}],"issued":{"date-parts":[["2024",9,26]]}}},{"id":816,"uris":["http://zotero.org/users/local/rGxUvxsB/items/D8VE3HW6"],"itemData":{"id":816,"type":"article-journal","abstract":"This study aimed to describe the development of augmented reality-based interactive multimedia to improve the critical thinking skills of elementary school teacher education students in learning earth structure and fisheries material science. This type of research was research and development by Sukmadinata consisting of preliminary studies, model development, and model testing. The research subjects were elementary school teacher education students at Sebelas Maret University, Indonesia. The technique of collecting data used tests, questionnaires, and observations. The collected data was then analyzed qualitatively and quantitatively. Qualitative data analysis used the interactive models of Miles and Huberman and quantitative data analysis using a paired sample t-test. The results of the study show that the development of media products determines indicators of learning, programming, display, and curriculum. The main field test obtained ρvalue = 0.002&lt; 0.05, it can be decided that H0 rejected. Students think critically using augmented reality-based interactive multimedia better than before using it. At present, it is obtained interactive multimedia based on augmented reality that is feasible to use in accordance with the views of experts and users.","container-title":"International Journal of Instruction","DOI":"10.29333/iji.2019.12421a","ISSN":"1694609X, 13081470","issue":"4","journalAbbreviation":"INT J INSTRUCTION","language":"en","note":"number: 4","page":"331-344","source":"DOI.org (Crossref)","title":"Development of Augmented Reality-Based Interactive Multimedia to Improve Critical Thinking Skills in Science Learning","volume":"12","author":[{"family":"Syawaludin","given":"Ahmad"},{"family":"Gunarhadi","given":"Gunarhadi"},{"literal":"Prof., Teacher Training and Education Faculty, Universitas Sebelas Maret, Indonesia, gunarhadi@fkip.uns.ac.id"},{"family":"Rintayati","given":"Peduk"},{"literal":"Dr., Teacher Training and Education Faculty, Universitas Sebelas Maret, Indonesia, pedukrintayati@staff.uns.ac.id"}],"issued":{"date-parts":[["2019",10,1]]}}}],"schema":"https://github.com/citation-style-language/schema/raw/master/csl-citation.json"} </w:instrText>
      </w:r>
      <w:r w:rsidR="00985D84" w:rsidRPr="00657435">
        <w:rPr>
          <w:rFonts w:ascii="Garamond" w:hAnsi="Garamond" w:cs="Times New Roman"/>
          <w:sz w:val="26"/>
          <w:szCs w:val="26"/>
        </w:rPr>
        <w:fldChar w:fldCharType="separate"/>
      </w:r>
      <w:r w:rsidR="00D058C8" w:rsidRPr="00657435">
        <w:rPr>
          <w:rFonts w:ascii="Garamond" w:hAnsi="Garamond" w:cs="Times New Roman"/>
          <w:sz w:val="26"/>
          <w:szCs w:val="26"/>
        </w:rPr>
        <w:t>(Septiadevana &amp; Abdullah, 2024; Suwardika et al., 2024; Syawaludin et al., 2019)</w:t>
      </w:r>
      <w:r w:rsidR="00985D84" w:rsidRPr="00657435">
        <w:rPr>
          <w:rFonts w:ascii="Garamond" w:hAnsi="Garamond" w:cs="Times New Roman"/>
          <w:sz w:val="26"/>
          <w:szCs w:val="26"/>
        </w:rPr>
        <w:fldChar w:fldCharType="end"/>
      </w:r>
      <w:r w:rsidR="008D1922" w:rsidRPr="00657435">
        <w:rPr>
          <w:rFonts w:ascii="Garamond" w:hAnsi="Garamond" w:cs="Times New Roman"/>
          <w:sz w:val="26"/>
          <w:szCs w:val="26"/>
        </w:rPr>
        <w:t>.</w:t>
      </w:r>
    </w:p>
    <w:p w14:paraId="101F19BE" w14:textId="26932474" w:rsidR="008D1922" w:rsidRPr="00657435" w:rsidRDefault="005D6637"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Furthermore, student engagement fosters the development of a learning environment that is more responsive to the digital landscape and the Society 5.0 initiative. Research by </w:t>
      </w:r>
      <w:r w:rsidR="00D40C17" w:rsidRPr="00657435">
        <w:rPr>
          <w:rFonts w:ascii="Garamond" w:hAnsi="Garamond" w:cs="Times New Roman"/>
          <w:sz w:val="26"/>
          <w:szCs w:val="26"/>
        </w:rPr>
        <w:fldChar w:fldCharType="begin"/>
      </w:r>
      <w:r w:rsidR="000675C6" w:rsidRPr="00657435">
        <w:rPr>
          <w:rFonts w:ascii="Garamond" w:hAnsi="Garamond" w:cs="Times New Roman"/>
          <w:sz w:val="26"/>
          <w:szCs w:val="26"/>
        </w:rPr>
        <w:instrText xml:space="preserve"> ADDIN ZOTERO_ITEM CSL_CITATION {"citationID":"SJjURH27","properties":{"formattedCitation":"(Syahid et al., 2022)","plainCitation":"(Syahid et al., 2022)","dontUpdate":true,"noteIndex":0},"citationItems":[{"id":578,"uris":["http://zotero.org/users/local/rGxUvxsB/items/BTTDDQDZ"],"itemData":{"id":578,"type":"article-journal","abstract":"World changes globally present various increasingly sophisticated technological tools, including in education. It certainly requires improving the quality of teachers as a counterbalance to the progress of education 4.0, namely increasing the digital competence of teachers. However, the reality in the field there is still a state of lagging technology. This study focuses on (1) knowing the intensity of using digital devices in learning, (2) knowing computer application programs often used, and (3) knowing teacher mastery in using computer application programs for learning. This study uses a descriptive survey involving 70 elementary school teachers with a random sampling. Data collection instruments are in the form of questionnaires as well as data collection through interviews and observations. The results showed that: (1) The intensity of the use of digital devices shows that 53% of teachers have used them every time they teach, 31% are intermittent and 16% have never used them. (2) Computer application programs that are often used are through social media (68%) and video conferencing (59%) which are the media most often used for alternative learning communication. (3) As many as 44% of teachers are at a very capable level in mastering using computer application programs for learning.","container-title":"Jurnal Basicedu","DOI":"10.31004/basicedu.v6i3.2909","ISSN":"2580-1147, 2580-3735","issue":"3","journalAbbreviation":"basicedu","language":"id","license":"https://creativecommons.org/licenses/by-sa/4.0","page":"4600-4611","source":"DOI.org (Crossref)","title":"Analisis Kompetensi Digital Guru Sekolah Dasar","volume":"6","author":[{"family":"Syahid","given":"Aah Ahmad"},{"family":"Hernawan","given":"Asep Herry"},{"family":"Dewi","given":"Laksmi"}],"issued":{"date-parts":[["2022",4,23]]}}}],"schema":"https://github.com/citation-style-language/schema/raw/master/csl-citation.json"} </w:instrText>
      </w:r>
      <w:r w:rsidR="00D40C17" w:rsidRPr="00657435">
        <w:rPr>
          <w:rFonts w:ascii="Garamond" w:hAnsi="Garamond" w:cs="Times New Roman"/>
          <w:sz w:val="26"/>
          <w:szCs w:val="26"/>
        </w:rPr>
        <w:fldChar w:fldCharType="separate"/>
      </w:r>
      <w:r w:rsidR="00D40C17" w:rsidRPr="00657435">
        <w:rPr>
          <w:rFonts w:ascii="Garamond" w:hAnsi="Garamond" w:cs="Times New Roman"/>
          <w:sz w:val="26"/>
          <w:szCs w:val="26"/>
        </w:rPr>
        <w:t>Syahid et al., (2022)</w:t>
      </w:r>
      <w:r w:rsidR="00D40C17" w:rsidRPr="00657435">
        <w:rPr>
          <w:rFonts w:ascii="Garamond" w:hAnsi="Garamond" w:cs="Times New Roman"/>
          <w:sz w:val="26"/>
          <w:szCs w:val="26"/>
        </w:rPr>
        <w:fldChar w:fldCharType="end"/>
      </w:r>
      <w:r w:rsidRPr="00657435">
        <w:rPr>
          <w:rFonts w:ascii="Garamond" w:hAnsi="Garamond" w:cs="Times New Roman"/>
          <w:sz w:val="26"/>
          <w:szCs w:val="26"/>
        </w:rPr>
        <w:t xml:space="preserve"> indicates that the evolution of media and educational models has transitioned from conventional methods to those that are technologically integrated and centred on student engagement during the learning process. This signifies a transition from a passive teaching methodology to a reflective, individualised, and efficacious learning design in the context of digital disruption</w:t>
      </w:r>
      <w:r w:rsidR="008D1922" w:rsidRPr="00657435">
        <w:rPr>
          <w:rFonts w:ascii="Garamond" w:hAnsi="Garamond" w:cs="Times New Roman"/>
          <w:sz w:val="26"/>
          <w:szCs w:val="26"/>
        </w:rPr>
        <w:t>.</w:t>
      </w:r>
    </w:p>
    <w:p w14:paraId="4B810C10" w14:textId="77777777" w:rsidR="00D40C17"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The geographical dynamics of scholarly contributions to learning and education in the Society 5.0 era demonstrate a pronounced asymmetry between academic productivity and global impact. Indonesia emerges as the country with the highest publication volume, reflecting the growing engagement of emerging economies in advancing the education transformation agenda. This trend signifies efforts to localize global challenges and make 21st-century educational frameworks relevant to diverse sociocultural and institutional contexts.</w:t>
      </w:r>
    </w:p>
    <w:p w14:paraId="4C62B062" w14:textId="156E8215" w:rsidR="00AA6EAD"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However, when viewed from the perspective of academic influence, which is measured by citation frequency, theoretical advancement, and agenda-setting power, countries such as China retain dominance. These countries not only produce large quantities of research but also actively shape theoretical orientations and discourse in the global literature. This disparity indicates that the knowledge generated in developing regions has not yet been fully absorbed into the core of international scientific dialogue.</w:t>
      </w:r>
    </w:p>
    <w:p w14:paraId="05CD549D" w14:textId="5D55D3D9" w:rsidR="008D1922" w:rsidRPr="00657435" w:rsidRDefault="00AA6EAD" w:rsidP="00657435">
      <w:pPr>
        <w:tabs>
          <w:tab w:val="left" w:pos="142"/>
          <w:tab w:val="left" w:pos="284"/>
          <w:tab w:val="left" w:pos="426"/>
        </w:tabs>
        <w:spacing w:after="0" w:line="240" w:lineRule="auto"/>
        <w:jc w:val="both"/>
        <w:rPr>
          <w:rFonts w:ascii="Garamond" w:hAnsi="Garamond" w:cs="Times New Roman"/>
          <w:sz w:val="26"/>
          <w:szCs w:val="26"/>
        </w:rPr>
      </w:pPr>
      <w:r w:rsidRPr="00657435">
        <w:rPr>
          <w:rFonts w:ascii="Garamond" w:hAnsi="Garamond" w:cs="Times New Roman"/>
          <w:sz w:val="26"/>
          <w:szCs w:val="26"/>
        </w:rPr>
        <w:t xml:space="preserve">To bridge this gap, it is essential for developing countries to undergo an epistemological transition. They must move beyond merely adopting foreign frameworks and begin constructing original, context-sensitive contributions. Strengthening the conceptual competence of local researchers, fostering deeper international collaboration, and adopting introspective and multidisciplinary approaches are strategic imperatives. Without this shift, emerging nations may continue to play a peripheral role in global education scholarship, </w:t>
      </w:r>
      <w:r w:rsidRPr="00657435">
        <w:rPr>
          <w:rFonts w:ascii="Garamond" w:hAnsi="Garamond" w:cs="Times New Roman"/>
          <w:sz w:val="26"/>
          <w:szCs w:val="26"/>
        </w:rPr>
        <w:lastRenderedPageBreak/>
        <w:t>remaining high in volume but limited in their ability to shape educational paradigms, policy, and theory on the international stage</w:t>
      </w:r>
      <w:r w:rsidR="008D1922" w:rsidRPr="00657435">
        <w:rPr>
          <w:rFonts w:ascii="Garamond" w:hAnsi="Garamond" w:cs="Times New Roman"/>
          <w:sz w:val="26"/>
          <w:szCs w:val="26"/>
        </w:rPr>
        <w:t>.</w:t>
      </w:r>
    </w:p>
    <w:p w14:paraId="69699C71" w14:textId="1A3C51BE" w:rsidR="008D1922" w:rsidRPr="00657435" w:rsidRDefault="008D1922" w:rsidP="00657435">
      <w:pPr>
        <w:pStyle w:val="ListParagraph"/>
        <w:numPr>
          <w:ilvl w:val="0"/>
          <w:numId w:val="7"/>
        </w:numPr>
        <w:tabs>
          <w:tab w:val="left" w:pos="142"/>
          <w:tab w:val="left" w:pos="284"/>
          <w:tab w:val="left" w:pos="426"/>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Comparison with previous Research</w:t>
      </w:r>
    </w:p>
    <w:p w14:paraId="75EC34EB" w14:textId="77777777" w:rsidR="00CD1013" w:rsidRPr="00657435" w:rsidRDefault="00CD1013"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 xml:space="preserve">Prior bibliometric analyses </w:t>
      </w:r>
      <w:r w:rsidR="008D1922" w:rsidRPr="00657435">
        <w:rPr>
          <w:rFonts w:ascii="Garamond" w:hAnsi="Garamond" w:cs="Times New Roman"/>
          <w:sz w:val="26"/>
          <w:szCs w:val="26"/>
          <w:lang w:val="en-US"/>
        </w:rPr>
        <w:t>(</w:t>
      </w:r>
      <w:r w:rsidRPr="00657435">
        <w:rPr>
          <w:rFonts w:ascii="Garamond" w:hAnsi="Garamond" w:cs="Times New Roman"/>
          <w:sz w:val="26"/>
          <w:szCs w:val="26"/>
          <w:lang w:val="en-US"/>
        </w:rPr>
        <w:t>e.g.</w:t>
      </w:r>
      <w:r w:rsidR="008D1922" w:rsidRPr="00657435">
        <w:rPr>
          <w:rFonts w:ascii="Garamond" w:hAnsi="Garamond" w:cs="Times New Roman"/>
          <w:sz w:val="26"/>
          <w:szCs w:val="26"/>
          <w:lang w:val="en-US"/>
        </w:rPr>
        <w:t xml:space="preserve"> </w:t>
      </w:r>
      <w:r w:rsidR="00985D84" w:rsidRPr="00657435">
        <w:rPr>
          <w:rFonts w:ascii="Garamond" w:hAnsi="Garamond" w:cs="Times New Roman"/>
          <w:sz w:val="26"/>
          <w:szCs w:val="26"/>
          <w:lang w:val="en-US"/>
        </w:rPr>
        <w:fldChar w:fldCharType="begin"/>
      </w:r>
      <w:r w:rsidR="00AE551D" w:rsidRPr="00657435">
        <w:rPr>
          <w:rFonts w:ascii="Garamond" w:hAnsi="Garamond" w:cs="Times New Roman"/>
          <w:sz w:val="26"/>
          <w:szCs w:val="26"/>
          <w:lang w:val="en-US"/>
        </w:rPr>
        <w:instrText xml:space="preserve"> ADDIN ZOTERO_ITEM CSL_CITATION {"citationID":"R5MrY5FC","properties":{"formattedCitation":"(Arviani et al., 2023; Puspita et al., 2023)","plainCitation":"(Arviani et al., 2023; Puspita et al., 2023)","noteIndex":0},"citationItems":[{"id":833,"uris":["http://zotero.org/users/local/rGxUvxsB/items/I7QP4BGZ"],"itemData":{"id":833,"type":"article-journal","abstract":"One of the causes of students' low higher level thinking abilities is the use of teaching strategies. This research aims to investigate the role of higher order thinking skills teaching strategies to improve students' critical thinking skills in science learning. The research design used was quasi-experimental by dividing students into three groups, namely the experimental class which received teaching strategy intervention that encouraged higher level thinking skills, while the other two groups were students majoring in science and non-science who received traditional teaching intervention. The participants involved were 300 vocational school students. The instruments used in this research are critical thinking skills assessment instruments, dispositions observation sheet of teaching strategies used by the teacher, and question sheets that reveal the teacher's perspective on higher order thinking skills. Quantitative analysis was applied to the data and included descriptive statistics and ANOVA tests and was strengthened by qualitative data analysis using analysis of interview results. Research findings show that students in the experimental group showed significant improvements in all components of critical thinking and dispositional aspects. The increase in critical thinking skills appears significant in all aspects, namely evaluative, identification and inference. Improvements in the disposition aspect can be seen in the ability to seek the truth, the ability to open one's mind, self-confidence, and maturity in facing problems. In addition, teaching designed to improve high-level thinking skills has intensity in several activities such as always presenting problems in context, open discussions, encouraging students to experiment, being inquiry-oriented, and providing many opportunities to develop critical thinking skills. This research means that students' critical thinking abilities can be improved by designing teaching that integrates several methods that encourage them to think critically. Researchers recommend the need for teacher professional development programs, especially in the use of teaching strategies that encourage higher order thinking skills in the teaching process.","container-title":"International Journal of Learning, Teaching and Educational Research","DOI":"10.26803/ijlter.22.9.19","ISSN":"16942493, 16942116","issue":"9","journalAbbreviation":"IJLTER","language":"en","note":"number: 9","page":"347-364","source":"DOI.org (Crossref)","title":"Role of Teaching Strategies in Promoting Students’ Higher Order Thinking Skills and Critical Thinking Dispositions","volume":"22","author":[{"family":"Arviani","given":"Fitria Puteri"},{"family":"Wahyudin","given":"Dinn"},{"family":"Dewi","given":"Laksmi"}],"issued":{"date-parts":[["2023",9,30]]}}},{"id":831,"uris":["http://zotero.org/users/local/rGxUvxsB/items/6BZVFRW9"],"itemData":{"id":831,"type":"article-journal","abstract":"This study aims to identify publication trends and recommendations for problem-based science learning research in elementary schools. We used a mixed-methods research design in which descriptive, qualitative, and bibliometric analyses were used to look at the data. We selected the sample by using the purposive sampling technique. Secondary data contains Sintaindexed research articles published in the Google Scholar database. Data were analyzed using content analysis and the VOS-Viewer. The results of the analysis show that between 2017 and 2021, 98 articles have been published with the keywords [problem-based learning] and [IPA or science learning] in national and international journals with research settings in Indonesia. Most publications occurred in 2020. The keywords that appear the most in the published articles obtained are [problem-based learning], [learning outcomes], [critical thinking skills], and [science learning]. The keyword [Tri Hita Karana], or three causes of well-being, appears, but with weak nodes. These keywords appear in many publications whose research settings are in Bali because they are ethnoscientific findings from that area. Weak nodes have several conjectures, namely that this theme has been researched to saturate or that research on this theme is still rarely carried out. This research contributes ideas for future research involving the theme of problem-based learning in science.","container-title":"Journal of Education and Learning (EduLearn)","DOI":"10.11591/edulearn.v17i2.20856","ISSN":"2302-9277, 2089-9823","issue":"2","journalAbbreviation":"EduLearn","language":"en","license":"http://creativecommons.org/licenses/by/4.0","note":"number: 2","page":"285-293","source":"DOI.org (Crossref)","title":"Problem-based science learning in elementary schools: A bibliometric analysis","title-short":"Problem-based science learning in elementary schools","volume":"17","author":[{"family":"Puspita","given":"Anenggar Dewi"},{"family":"Maryani","given":"Ika"},{"family":"Sukma","given":"Hanum Hanifa"}],"issued":{"date-parts":[["2023",5,1]]}}}],"schema":"https://github.com/citation-style-language/schema/raw/master/csl-citation.json"} </w:instrText>
      </w:r>
      <w:r w:rsidR="00985D84" w:rsidRPr="00657435">
        <w:rPr>
          <w:rFonts w:ascii="Garamond" w:hAnsi="Garamond" w:cs="Times New Roman"/>
          <w:sz w:val="26"/>
          <w:szCs w:val="26"/>
          <w:lang w:val="en-US"/>
        </w:rPr>
        <w:fldChar w:fldCharType="separate"/>
      </w:r>
      <w:r w:rsidR="00985D84" w:rsidRPr="00657435">
        <w:rPr>
          <w:rFonts w:ascii="Garamond" w:hAnsi="Garamond" w:cs="Times New Roman"/>
          <w:sz w:val="26"/>
          <w:szCs w:val="26"/>
        </w:rPr>
        <w:t>(Arviani et al., 2023; Puspita et al., 2023)</w:t>
      </w:r>
      <w:r w:rsidR="00985D84" w:rsidRPr="00657435">
        <w:rPr>
          <w:rFonts w:ascii="Garamond" w:hAnsi="Garamond" w:cs="Times New Roman"/>
          <w:sz w:val="26"/>
          <w:szCs w:val="26"/>
          <w:lang w:val="en-US"/>
        </w:rPr>
        <w:fldChar w:fldCharType="end"/>
      </w:r>
      <w:r w:rsidR="008D1922" w:rsidRPr="00657435">
        <w:rPr>
          <w:rFonts w:ascii="Garamond" w:hAnsi="Garamond" w:cs="Times New Roman"/>
          <w:sz w:val="26"/>
          <w:szCs w:val="26"/>
          <w:lang w:val="en-US"/>
        </w:rPr>
        <w:t xml:space="preserve"> </w:t>
      </w:r>
      <w:r w:rsidRPr="00657435">
        <w:rPr>
          <w:rFonts w:ascii="Garamond" w:hAnsi="Garamond" w:cs="Times New Roman"/>
          <w:sz w:val="26"/>
          <w:szCs w:val="26"/>
        </w:rPr>
        <w:t xml:space="preserve">have delineated the overarching trajectory of educational technology research; however, few have explicitly emphasised the incorporation of the Society 5.0 concept within the realm of primary education. This study offers a targeted and data-centric analysis, elucidating the dynamics of scientific interest in Society 5.0-based learning by mapping keyword co-occurrence, topic transitions, and citation effects. The report underscores a notable increase in publications beyond 2020, driven by the rapid advancement of digital transformation, the necessity for critical thinking abilities, and educational adaptations to smart technology and immersive learning experiences. </w:t>
      </w:r>
    </w:p>
    <w:p w14:paraId="4F0EA962" w14:textId="7F513FC6" w:rsidR="008D1922" w:rsidRPr="00657435" w:rsidRDefault="00CD1013"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sz w:val="26"/>
          <w:szCs w:val="26"/>
        </w:rPr>
        <w:t>This study provides a more comprehensive framework than the systematic reviews by</w:t>
      </w:r>
      <w:r w:rsidR="008D1922" w:rsidRPr="00657435">
        <w:rPr>
          <w:rFonts w:ascii="Garamond" w:hAnsi="Garamond" w:cs="Times New Roman"/>
          <w:sz w:val="26"/>
          <w:szCs w:val="26"/>
          <w:lang w:val="en-US"/>
        </w:rPr>
        <w:t xml:space="preserve"> </w:t>
      </w:r>
      <w:r w:rsidR="00985D84" w:rsidRPr="00657435">
        <w:rPr>
          <w:rFonts w:ascii="Garamond" w:hAnsi="Garamond" w:cs="Times New Roman"/>
          <w:sz w:val="26"/>
          <w:szCs w:val="26"/>
          <w:lang w:val="en-US"/>
        </w:rPr>
        <w:fldChar w:fldCharType="begin"/>
      </w:r>
      <w:r w:rsidR="00AE551D" w:rsidRPr="00657435">
        <w:rPr>
          <w:rFonts w:ascii="Garamond" w:hAnsi="Garamond" w:cs="Times New Roman"/>
          <w:sz w:val="26"/>
          <w:szCs w:val="26"/>
          <w:lang w:val="en-US"/>
        </w:rPr>
        <w:instrText xml:space="preserve"> ADDIN ZOTERO_ITEM CSL_CITATION {"citationID":"chyHUj1R","properties":{"formattedCitation":"(Sarwendah et al., 2023; Y\\uc0\\u305{}ld\\uc0\\u305{}r\\uc0\\u305{}m &amp; Ke\\uc0\\u231{}eci, 2024)","plainCitation":"(Sarwendah et al., 2023; Yıldırım &amp; Keçeci, 2024)","dontUpdate":true,"noteIndex":0},"citationItems":[{"id":665,"uris":["http://zotero.org/users/local/rGxUvxsB/items/4ENPDXIB"],"itemData":{"id":665,"type":"article-journal","abstract":"This study aims to describe the use of technology in learning for students with special needs during the transition period after the COVID-19 pandemic to the new normal. This study is descriptive research with a survey method. The survey was conducted with 41 special education teachers with variety of special needs students. Data is collected using Google Form questionnaires. Data analysis is carried out by calculating the frequency and is presented as percentages. Participants in this study were chosen randomly for data variation. The presentation of data is carried out qualitatively based on the respondents’ answers to the questions asked. The study participants argued that hybrid learning was feasible, even though it was recognized as encountering obstacles. Based on the results of a survey conducted by special education teachers at special education school (SLB), for hybrid learning, digital platforms are used to support online learning. The platforms used are WhatsApp and video conferencing, such as Google Meet. Integrating technology is considered important for teachers to support the learning process. Conscious and planned efforts and teacher motivation are critical to increasing their experience and skills in utilizing technology in learning.","container-title":"Journal of Education and Learning (EduLearn)","DOI":"10.11591/edulearn.v17i2.20810","ISSN":"2302-9277, 2089-9823","issue":"2","journalAbbreviation":"EduLearn","language":"en","license":"http://creativecommons.org/licenses/by/4.0","page":"317-325","source":"DOI.org (Crossref)","title":"The use of technology in hybrid learning for student with special needs","volume":"17","author":[{"family":"Sarwendah","given":"Ade Putri"},{"family":"Azizah","given":"Nur"},{"family":"Mumpuniarti","given":"Mumpuniarti"}],"issued":{"date-parts":[["2023",5,1]]}}},{"id":828,"uris":["http://zotero.org/users/local/rGxUvxsB/items/IEBPMV4I"],"itemData":{"id":828,"type":"article-journal","abstract":"Within the scope of the measures taken in the COVID-19 pandemic crisis, which has affected the entire world, face-to-face events have been moved to digital platforms. Throughout global pandemic, many countries applied various distance education applications compatible to their technological infrastructure and resources to cope with disruption in education. In this process, online education has swiftly been substituted for face-to-face education to ensure learning continuity. Since this rapid transition, learning methods using digital technologies in education and training have started to attract more attention. One of the most important examples of digital transformation in education is the metaverse technology which gained global attraction conceptually. Metaverse, derived from the words meta (after/beyond) and universe forming meta-universe, is a fictional universe that allows users to engage with three-dimensional virtual worlds using augmented reality and virtual reality technologies as well as personal mobile devices. This study explains what the metaverse is, investigates its reflections on education, provides sample metaverse projects and proposes further improvements.","container-title":"Milli Eğitim Dergisi","DOI":"10.37669/milliegitim.1240070","ISSN":"1302-5600","issue":"243","language":"tr","note":"number: 243","page":"1635-1654","source":"DOI.org (Crossref)","title":"Metaverse ve Eğitim: Yeni Bir Dönem Başlıyor!","title-short":"Metaverse ve Eğitim","volume":"53","author":[{"family":"Yıldırım","given":"Pelin"},{"family":"Keçeci","given":"Gonca"}],"issued":{"date-parts":[["2024",8,1]]}}}],"schema":"https://github.com/citation-style-language/schema/raw/master/csl-citation.json"} </w:instrText>
      </w:r>
      <w:r w:rsidR="00985D84" w:rsidRPr="00657435">
        <w:rPr>
          <w:rFonts w:ascii="Garamond" w:hAnsi="Garamond" w:cs="Times New Roman"/>
          <w:sz w:val="26"/>
          <w:szCs w:val="26"/>
          <w:lang w:val="en-US"/>
        </w:rPr>
        <w:fldChar w:fldCharType="separate"/>
      </w:r>
      <w:r w:rsidR="00985D84" w:rsidRPr="00657435">
        <w:rPr>
          <w:rFonts w:ascii="Garamond" w:hAnsi="Garamond" w:cs="Times New Roman"/>
          <w:sz w:val="26"/>
          <w:szCs w:val="26"/>
        </w:rPr>
        <w:t>Sarwendah et al., (2023)</w:t>
      </w:r>
      <w:r w:rsidRPr="00657435">
        <w:rPr>
          <w:rFonts w:ascii="Garamond" w:hAnsi="Garamond" w:cs="Times New Roman"/>
          <w:sz w:val="26"/>
          <w:szCs w:val="26"/>
        </w:rPr>
        <w:t xml:space="preserve"> and</w:t>
      </w:r>
      <w:r w:rsidR="00985D84" w:rsidRPr="00657435">
        <w:rPr>
          <w:rFonts w:ascii="Garamond" w:hAnsi="Garamond" w:cs="Times New Roman"/>
          <w:sz w:val="26"/>
          <w:szCs w:val="26"/>
        </w:rPr>
        <w:t xml:space="preserve"> Yıldırım &amp; Keçeci, (2024)</w:t>
      </w:r>
      <w:r w:rsidR="00985D84" w:rsidRPr="00657435">
        <w:rPr>
          <w:rFonts w:ascii="Garamond" w:hAnsi="Garamond" w:cs="Times New Roman"/>
          <w:sz w:val="26"/>
          <w:szCs w:val="26"/>
          <w:lang w:val="en-US"/>
        </w:rPr>
        <w:fldChar w:fldCharType="end"/>
      </w:r>
      <w:r w:rsidR="008D1922" w:rsidRPr="00657435">
        <w:rPr>
          <w:rFonts w:ascii="Garamond" w:hAnsi="Garamond" w:cs="Times New Roman"/>
          <w:sz w:val="26"/>
          <w:szCs w:val="26"/>
          <w:lang w:val="en-US"/>
        </w:rPr>
        <w:t xml:space="preserve">, </w:t>
      </w:r>
      <w:r w:rsidRPr="00657435">
        <w:rPr>
          <w:rFonts w:ascii="Garamond" w:hAnsi="Garamond" w:cs="Times New Roman"/>
          <w:sz w:val="26"/>
          <w:szCs w:val="26"/>
        </w:rPr>
        <w:t>which focused solely on technology or visual strategies in learning, by incorporating structural barriers and policy dynamics specific to the primary education system. This study methodologically surpasses prior research by cohesively merging systematic review and bibliometric analysis techniques. This study highlights the dynamic nature of learning engagement, influenced by digital change, generational variety among students, and external pressures in the Society 5.0 era, in contrast to prior studies that regard it as a static entity. This work addresses theoretical and methodological limitations to offer a nuanced, interdisciplinary, and policy-relevant perspective aimed at enhancing engagement and critical thinking in elementary education settings.</w:t>
      </w:r>
    </w:p>
    <w:p w14:paraId="1516A792" w14:textId="21274403" w:rsidR="008D1922" w:rsidRPr="00657435" w:rsidRDefault="008D1922" w:rsidP="00657435">
      <w:pPr>
        <w:pStyle w:val="ListParagraph"/>
        <w:numPr>
          <w:ilvl w:val="0"/>
          <w:numId w:val="7"/>
        </w:numPr>
        <w:tabs>
          <w:tab w:val="left" w:pos="142"/>
          <w:tab w:val="left" w:pos="284"/>
          <w:tab w:val="left" w:pos="426"/>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Implication for practice and theory Implication for practice and theory</w:t>
      </w:r>
    </w:p>
    <w:p w14:paraId="0811F43C" w14:textId="77777777" w:rsidR="00CD1013" w:rsidRPr="00657435" w:rsidRDefault="00CD1013"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 xml:space="preserve">his study provides actionable insights for policymakers and stakeholders in primary education by advocating a transition from an outcome-focused methodology to a sustainable learning strategy that incorporates motivation, critical thinking, and structural adaptation. Digital transformation within the Society 5.0 framework is highlighted as a catalyst for learner engagement, with teacher adaptability, student psychological resilience, and instructional redesign as essential components. Addressing systemic obstacles, including curriculum inflexibility and administrative encumbrances, is crucial for fostering more reflective and contextual learning. </w:t>
      </w:r>
    </w:p>
    <w:p w14:paraId="630E41A2" w14:textId="77777777" w:rsidR="00CD1013" w:rsidRPr="00657435" w:rsidRDefault="00CD1013"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eastAsia="Times New Roman" w:hAnsi="Garamond" w:cs="Times New Roman"/>
          <w:kern w:val="0"/>
          <w:sz w:val="26"/>
          <w:szCs w:val="26"/>
          <w:lang w:eastAsia="en-ID"/>
          <w14:ligatures w14:val="none"/>
        </w:rPr>
        <w:t xml:space="preserve">This study aims to enhance the understanding of learner engagement by utilising bibliometrics and systematic review within the framework of elementary education in the digital age. </w:t>
      </w:r>
      <w:r w:rsidRPr="00657435">
        <w:rPr>
          <w:rFonts w:ascii="Garamond" w:hAnsi="Garamond" w:cs="Times New Roman"/>
          <w:sz w:val="26"/>
          <w:szCs w:val="26"/>
        </w:rPr>
        <w:t xml:space="preserve">This method perceives engagement as a dynamic process potentially shaped by pedagogical challenges and institutional complexities in primary science education. This study reclassifies 29 antecedents and 17 consequences, uncovering dimensions that have not been extensively explored, such as institutional limitations and </w:t>
      </w:r>
      <w:proofErr w:type="spellStart"/>
      <w:r w:rsidRPr="00657435">
        <w:rPr>
          <w:rFonts w:ascii="Garamond" w:hAnsi="Garamond" w:cs="Times New Roman"/>
          <w:sz w:val="26"/>
          <w:szCs w:val="26"/>
        </w:rPr>
        <w:t>behavioral</w:t>
      </w:r>
      <w:proofErr w:type="spellEnd"/>
      <w:r w:rsidRPr="00657435">
        <w:rPr>
          <w:rFonts w:ascii="Garamond" w:hAnsi="Garamond" w:cs="Times New Roman"/>
          <w:sz w:val="26"/>
          <w:szCs w:val="26"/>
        </w:rPr>
        <w:t xml:space="preserve"> implications. The limited use of theories specifically relevant to science learning and cognitive development, such as Constructivist Learning Theory and Cognitive Load Theory, suggests the need for hybrid models that reflect the interrelated dynamics of fostering learning engagement and critical thinking in the Society 5.0 era.</w:t>
      </w:r>
    </w:p>
    <w:p w14:paraId="6737918D" w14:textId="59D7CE33" w:rsidR="008D1922" w:rsidRPr="00657435" w:rsidRDefault="008D1922" w:rsidP="00657435">
      <w:pPr>
        <w:pStyle w:val="ListParagraph"/>
        <w:numPr>
          <w:ilvl w:val="0"/>
          <w:numId w:val="7"/>
        </w:numPr>
        <w:tabs>
          <w:tab w:val="left" w:pos="142"/>
          <w:tab w:val="left" w:pos="284"/>
          <w:tab w:val="left" w:pos="426"/>
        </w:tabs>
        <w:spacing w:after="0" w:line="240" w:lineRule="auto"/>
        <w:ind w:left="0" w:firstLine="0"/>
        <w:jc w:val="both"/>
        <w:rPr>
          <w:rFonts w:ascii="Garamond" w:hAnsi="Garamond" w:cs="Times New Roman"/>
          <w:i/>
          <w:iCs/>
          <w:sz w:val="26"/>
          <w:szCs w:val="26"/>
        </w:rPr>
      </w:pPr>
      <w:r w:rsidRPr="00657435">
        <w:rPr>
          <w:rFonts w:ascii="Garamond" w:hAnsi="Garamond" w:cs="Times New Roman"/>
          <w:i/>
          <w:iCs/>
          <w:sz w:val="26"/>
          <w:szCs w:val="26"/>
        </w:rPr>
        <w:t>Limitations and future research</w:t>
      </w:r>
    </w:p>
    <w:p w14:paraId="0B57E7EC" w14:textId="77777777" w:rsidR="00CD1013" w:rsidRPr="00657435" w:rsidRDefault="00CD1013"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 xml:space="preserve">This study recognises certain limitations that present avenues for additional investigation. Exclusive dependence on Scopus-indexed publications may restrict multidisciplinary coverage, necessitating the inclusion of wider databases to enhance perspectives. The prevalence of quantitative studies utilising cross-sectional designs constrains the comprehension of learning engagement as a dynamic process, underscoring the necessity for longitudinal and qualitative methodologies. This study effectively refined the classification of antecedents and consequences; however, it has not tested new theoretical </w:t>
      </w:r>
      <w:r w:rsidRPr="00657435">
        <w:rPr>
          <w:rFonts w:ascii="Garamond" w:eastAsia="Times New Roman" w:hAnsi="Garamond" w:cs="Times New Roman"/>
          <w:kern w:val="0"/>
          <w:sz w:val="26"/>
          <w:szCs w:val="26"/>
          <w:lang w:eastAsia="en-ID"/>
          <w14:ligatures w14:val="none"/>
        </w:rPr>
        <w:lastRenderedPageBreak/>
        <w:t>models, thereby necessitating the creation of a hybrid framework that integrates underutilised perspectives, such as Self-Determination Theory (SDT), Social Interdependence Theory (SIT), and the Human-</w:t>
      </w:r>
      <w:proofErr w:type="spellStart"/>
      <w:r w:rsidRPr="00657435">
        <w:rPr>
          <w:rFonts w:ascii="Garamond" w:eastAsia="Times New Roman" w:hAnsi="Garamond" w:cs="Times New Roman"/>
          <w:kern w:val="0"/>
          <w:sz w:val="26"/>
          <w:szCs w:val="26"/>
          <w:lang w:eastAsia="en-ID"/>
          <w14:ligatures w14:val="none"/>
        </w:rPr>
        <w:t>Centered</w:t>
      </w:r>
      <w:proofErr w:type="spellEnd"/>
      <w:r w:rsidRPr="00657435">
        <w:rPr>
          <w:rFonts w:ascii="Garamond" w:eastAsia="Times New Roman" w:hAnsi="Garamond" w:cs="Times New Roman"/>
          <w:kern w:val="0"/>
          <w:sz w:val="26"/>
          <w:szCs w:val="26"/>
          <w:lang w:eastAsia="en-ID"/>
          <w14:ligatures w14:val="none"/>
        </w:rPr>
        <w:t xml:space="preserve"> Learning framework within the context of primary education in the Society 5.0 era. Geographical differences in the literature are an issue, necessitating increased cross-cultural study to enhance generalisability, particularly in emerging nations. </w:t>
      </w:r>
    </w:p>
    <w:p w14:paraId="4D7DEC63" w14:textId="7F4814EE" w:rsidR="008D1922" w:rsidRPr="00657435" w:rsidRDefault="00CD1013"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Moreover, generational variety in digital classrooms is insufficiently acknowledged; additional study is required to investigate how various age cohorts react to digital adaption, work-life balance, and teacher leadership dynamics. The enduring effects of digital transformation, artificial intelligence (AI), and automation on student learning engagement and well-being warrant thorough examination. Future research should investigate the influence of emerging technologies on learning outcomes, while reconciling digital efficiency with human-</w:t>
      </w:r>
      <w:proofErr w:type="spellStart"/>
      <w:r w:rsidRPr="00657435">
        <w:rPr>
          <w:rFonts w:ascii="Garamond" w:eastAsia="Times New Roman" w:hAnsi="Garamond" w:cs="Times New Roman"/>
          <w:kern w:val="0"/>
          <w:sz w:val="26"/>
          <w:szCs w:val="26"/>
          <w:lang w:eastAsia="en-ID"/>
          <w14:ligatures w14:val="none"/>
        </w:rPr>
        <w:t>centered</w:t>
      </w:r>
      <w:proofErr w:type="spellEnd"/>
      <w:r w:rsidRPr="00657435">
        <w:rPr>
          <w:rFonts w:ascii="Garamond" w:eastAsia="Times New Roman" w:hAnsi="Garamond" w:cs="Times New Roman"/>
          <w:kern w:val="0"/>
          <w:sz w:val="26"/>
          <w:szCs w:val="26"/>
          <w:lang w:eastAsia="en-ID"/>
          <w14:ligatures w14:val="none"/>
        </w:rPr>
        <w:t xml:space="preserve"> pedagogical approaches to develop sustainable educational systems</w:t>
      </w:r>
      <w:r w:rsidR="00055159" w:rsidRPr="00657435">
        <w:rPr>
          <w:rFonts w:ascii="Garamond" w:hAnsi="Garamond" w:cs="Times New Roman"/>
          <w:sz w:val="26"/>
          <w:szCs w:val="26"/>
        </w:rPr>
        <w:t>.</w:t>
      </w:r>
    </w:p>
    <w:p w14:paraId="2ABAAD79" w14:textId="72E25F70" w:rsidR="008D1922" w:rsidRPr="00657435" w:rsidRDefault="008D1922"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p>
    <w:p w14:paraId="37514C2B" w14:textId="395D4248" w:rsidR="00DA7CDB" w:rsidRPr="00657435" w:rsidRDefault="00657435" w:rsidP="00657435">
      <w:pPr>
        <w:pStyle w:val="ListParagraph"/>
        <w:numPr>
          <w:ilvl w:val="0"/>
          <w:numId w:val="1"/>
        </w:numPr>
        <w:tabs>
          <w:tab w:val="left" w:pos="142"/>
          <w:tab w:val="left" w:pos="284"/>
          <w:tab w:val="left" w:pos="426"/>
        </w:tabs>
        <w:spacing w:after="0" w:line="240" w:lineRule="auto"/>
        <w:ind w:left="0" w:firstLine="0"/>
        <w:jc w:val="center"/>
        <w:rPr>
          <w:rFonts w:ascii="Garamond" w:hAnsi="Garamond" w:cs="Times New Roman"/>
          <w:b/>
          <w:bCs/>
          <w:noProof/>
          <w:sz w:val="26"/>
          <w:szCs w:val="26"/>
        </w:rPr>
      </w:pPr>
      <w:r w:rsidRPr="00657435">
        <w:rPr>
          <w:rFonts w:ascii="Garamond" w:hAnsi="Garamond" w:cs="Times New Roman"/>
          <w:noProof/>
          <w:sz w:val="26"/>
          <w:szCs w:val="26"/>
        </w:rPr>
        <w:t>CONCLUSSION</w:t>
      </w:r>
    </w:p>
    <w:p w14:paraId="443F47E4" w14:textId="77777777" w:rsidR="00657435" w:rsidRDefault="00657435"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p>
    <w:p w14:paraId="14D17DC3" w14:textId="6B089B6B" w:rsidR="00851D42" w:rsidRPr="00657435" w:rsidRDefault="00CD1013" w:rsidP="00657435">
      <w:pPr>
        <w:pStyle w:val="ListParagraph"/>
        <w:tabs>
          <w:tab w:val="left" w:pos="142"/>
          <w:tab w:val="left" w:pos="284"/>
          <w:tab w:val="left" w:pos="426"/>
        </w:tabs>
        <w:spacing w:after="0" w:line="240" w:lineRule="auto"/>
        <w:ind w:left="0"/>
        <w:jc w:val="both"/>
        <w:rPr>
          <w:rFonts w:ascii="Garamond" w:eastAsia="Times New Roman" w:hAnsi="Garamond" w:cs="Times New Roman"/>
          <w:kern w:val="0"/>
          <w:sz w:val="26"/>
          <w:szCs w:val="26"/>
          <w:lang w:eastAsia="en-ID"/>
          <w14:ligatures w14:val="none"/>
        </w:rPr>
      </w:pPr>
      <w:r w:rsidRPr="00657435">
        <w:rPr>
          <w:rFonts w:ascii="Garamond" w:eastAsia="Times New Roman" w:hAnsi="Garamond" w:cs="Times New Roman"/>
          <w:kern w:val="0"/>
          <w:sz w:val="26"/>
          <w:szCs w:val="26"/>
          <w:lang w:eastAsia="en-ID"/>
          <w14:ligatures w14:val="none"/>
        </w:rPr>
        <w:t>This study investigates the dynamics of science education in elementary schools during the Society 5.0 era by employing an integrative approach that combines bibliometric analysis and systematic literature review to delineate publication trends, identify antecedents and consequences, and uncover existing theoretical gaps. The results indicate that while digital revolution has expedited pedagogical innovation, the enhancement of critical thinking abilities as a fundamental competency of the 21st century has not been effectively supported within the current educational framework. The prevalence of traditional methods and little investigation of interactive models highlight an urgent necessity for more adaptive and intelligent technology-driven learning tactics. This study presents a novel classification of factors affecting student engagement and learning outcomes in Society 5.0-oriented science education, highlighting the significance of adaptive teacher leadership, the incorporation of immersive technology, and the establishment of a learning environment conducive to reflection, exploration, and creativity. These observations underscore the necessity for a sustainable and contextual learning framework that equilibrates students' cognitive and emotional requirements while fostering the development of critical thinking skills from elementary education onwards. Additional study is recommended to create a hybrid model integrating constructivist, self-determination, and digital pedagogy theories, employing a longitudinal and cross-cultural methodology to enhance the significance and applicability of forthcoming learning models</w:t>
      </w:r>
      <w:r w:rsidR="008D1922" w:rsidRPr="00657435">
        <w:rPr>
          <w:rFonts w:ascii="Garamond" w:hAnsi="Garamond" w:cs="Times New Roman"/>
          <w:sz w:val="26"/>
          <w:szCs w:val="26"/>
        </w:rPr>
        <w:t>.</w:t>
      </w:r>
    </w:p>
    <w:p w14:paraId="20BCAB58" w14:textId="77777777" w:rsidR="00851D42" w:rsidRPr="00657435" w:rsidRDefault="00851D42"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p>
    <w:bookmarkEnd w:id="0"/>
    <w:p w14:paraId="386C3B3A" w14:textId="39218899" w:rsidR="00217057" w:rsidRPr="00657435" w:rsidRDefault="00217057"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r w:rsidRPr="00657435">
        <w:rPr>
          <w:rFonts w:ascii="Garamond" w:hAnsi="Garamond" w:cs="Times New Roman"/>
          <w:b/>
          <w:bCs/>
          <w:noProof/>
          <w:sz w:val="26"/>
          <w:szCs w:val="26"/>
        </w:rPr>
        <w:t>Apendix</w:t>
      </w:r>
    </w:p>
    <w:p w14:paraId="52EB3537" w14:textId="6BE6A81F" w:rsidR="00217057" w:rsidRPr="00657435" w:rsidRDefault="0021705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Table A1. Syntesis sistematic review</w:t>
      </w:r>
    </w:p>
    <w:p w14:paraId="5430BADD" w14:textId="72EC6E46" w:rsidR="00217057" w:rsidRPr="00657435" w:rsidRDefault="00217057" w:rsidP="00657435">
      <w:pPr>
        <w:tabs>
          <w:tab w:val="left" w:pos="142"/>
          <w:tab w:val="left" w:pos="284"/>
          <w:tab w:val="left" w:pos="426"/>
        </w:tabs>
        <w:spacing w:after="0" w:line="240" w:lineRule="auto"/>
        <w:jc w:val="both"/>
        <w:rPr>
          <w:rFonts w:ascii="Garamond" w:hAnsi="Garamond" w:cs="Times New Roman"/>
          <w:noProof/>
          <w:sz w:val="26"/>
          <w:szCs w:val="26"/>
        </w:rPr>
      </w:pPr>
      <w:r w:rsidRPr="00657435">
        <w:rPr>
          <w:rFonts w:ascii="Garamond" w:hAnsi="Garamond" w:cs="Times New Roman"/>
          <w:noProof/>
          <w:sz w:val="26"/>
          <w:szCs w:val="26"/>
        </w:rPr>
        <w:t>[insert Table A1 about here]</w:t>
      </w:r>
    </w:p>
    <w:p w14:paraId="4AFF94FE" w14:textId="77777777" w:rsidR="00554C9F" w:rsidRPr="00657435" w:rsidRDefault="00554C9F" w:rsidP="00657435">
      <w:pPr>
        <w:tabs>
          <w:tab w:val="left" w:pos="142"/>
          <w:tab w:val="left" w:pos="284"/>
          <w:tab w:val="left" w:pos="426"/>
        </w:tabs>
        <w:spacing w:after="0" w:line="240" w:lineRule="auto"/>
        <w:contextualSpacing/>
        <w:jc w:val="both"/>
        <w:rPr>
          <w:rFonts w:ascii="Garamond" w:hAnsi="Garamond" w:cs="Times New Roman"/>
          <w:b/>
          <w:bCs/>
          <w:noProof/>
          <w:sz w:val="26"/>
          <w:szCs w:val="26"/>
          <w:lang w:val="id-ID"/>
        </w:rPr>
      </w:pPr>
      <w:r w:rsidRPr="00657435">
        <w:rPr>
          <w:rFonts w:ascii="Garamond" w:hAnsi="Garamond" w:cs="Times New Roman"/>
          <w:b/>
          <w:bCs/>
          <w:noProof/>
          <w:sz w:val="26"/>
          <w:szCs w:val="26"/>
          <w:lang w:val="id-ID"/>
        </w:rPr>
        <w:t>Acknowledgment</w:t>
      </w:r>
    </w:p>
    <w:p w14:paraId="4A03BC0D" w14:textId="77777777" w:rsidR="00554C9F" w:rsidRPr="00657435" w:rsidRDefault="00554C9F" w:rsidP="00657435">
      <w:pPr>
        <w:pStyle w:val="NormalWeb"/>
        <w:tabs>
          <w:tab w:val="left" w:pos="142"/>
          <w:tab w:val="left" w:pos="284"/>
          <w:tab w:val="left" w:pos="426"/>
        </w:tabs>
        <w:spacing w:before="0" w:beforeAutospacing="0" w:after="0" w:afterAutospacing="0"/>
        <w:jc w:val="both"/>
        <w:rPr>
          <w:rFonts w:ascii="Garamond" w:hAnsi="Garamond"/>
          <w:sz w:val="26"/>
          <w:szCs w:val="26"/>
        </w:rPr>
      </w:pPr>
      <w:r w:rsidRPr="00657435">
        <w:rPr>
          <w:rFonts w:ascii="Garamond" w:hAnsi="Garamond"/>
          <w:sz w:val="26"/>
          <w:szCs w:val="26"/>
        </w:rPr>
        <w:t xml:space="preserve">This research received support from the Indonesia Endowment Fund for Education Agency (Lembaga </w:t>
      </w:r>
      <w:proofErr w:type="spellStart"/>
      <w:r w:rsidRPr="00657435">
        <w:rPr>
          <w:rFonts w:ascii="Garamond" w:hAnsi="Garamond"/>
          <w:sz w:val="26"/>
          <w:szCs w:val="26"/>
        </w:rPr>
        <w:t>Pengelola</w:t>
      </w:r>
      <w:proofErr w:type="spellEnd"/>
      <w:r w:rsidRPr="00657435">
        <w:rPr>
          <w:rFonts w:ascii="Garamond" w:hAnsi="Garamond"/>
          <w:sz w:val="26"/>
          <w:szCs w:val="26"/>
        </w:rPr>
        <w:t xml:space="preserve"> Dana Pendidikan Indonesia), the Higher Education Funding Agency (BPPT), and Ministry of Finance of the Republic of Indonesia, which provided funding for the first author’s doctoral degree scholarship. The author also wishes to express sincere gratitude to Iqbal </w:t>
      </w:r>
      <w:proofErr w:type="spellStart"/>
      <w:r w:rsidRPr="00657435">
        <w:rPr>
          <w:rFonts w:ascii="Garamond" w:hAnsi="Garamond"/>
          <w:sz w:val="26"/>
          <w:szCs w:val="26"/>
        </w:rPr>
        <w:t>Saffariz</w:t>
      </w:r>
      <w:proofErr w:type="spellEnd"/>
      <w:r w:rsidRPr="00657435">
        <w:rPr>
          <w:rFonts w:ascii="Garamond" w:hAnsi="Garamond"/>
          <w:sz w:val="26"/>
          <w:szCs w:val="26"/>
        </w:rPr>
        <w:t xml:space="preserve"> Santosa for his invaluable mentorship and scholarly guidance in the implementation of the comprehensive dual synthesis method combining bibliometric analysis and systematic literature review (SLR).</w:t>
      </w:r>
    </w:p>
    <w:p w14:paraId="0C520828" w14:textId="77777777" w:rsidR="00554C9F" w:rsidRDefault="00554C9F" w:rsidP="00657435">
      <w:pPr>
        <w:tabs>
          <w:tab w:val="left" w:pos="142"/>
          <w:tab w:val="left" w:pos="284"/>
          <w:tab w:val="left" w:pos="426"/>
        </w:tabs>
        <w:spacing w:after="0" w:line="240" w:lineRule="auto"/>
        <w:contextualSpacing/>
        <w:jc w:val="both"/>
        <w:rPr>
          <w:rFonts w:ascii="Garamond" w:hAnsi="Garamond" w:cs="Times New Roman"/>
          <w:b/>
          <w:bCs/>
          <w:noProof/>
          <w:sz w:val="26"/>
          <w:szCs w:val="26"/>
          <w:lang w:val="id-ID"/>
        </w:rPr>
      </w:pPr>
    </w:p>
    <w:p w14:paraId="13F173B6" w14:textId="77777777" w:rsidR="00657435" w:rsidRPr="00657435" w:rsidRDefault="00657435" w:rsidP="00657435">
      <w:pPr>
        <w:tabs>
          <w:tab w:val="left" w:pos="142"/>
          <w:tab w:val="left" w:pos="284"/>
          <w:tab w:val="left" w:pos="426"/>
        </w:tabs>
        <w:spacing w:after="0" w:line="240" w:lineRule="auto"/>
        <w:contextualSpacing/>
        <w:jc w:val="both"/>
        <w:rPr>
          <w:rFonts w:ascii="Garamond" w:hAnsi="Garamond" w:cs="Times New Roman"/>
          <w:b/>
          <w:bCs/>
          <w:noProof/>
          <w:sz w:val="26"/>
          <w:szCs w:val="26"/>
          <w:lang w:val="id-ID"/>
        </w:rPr>
      </w:pPr>
    </w:p>
    <w:p w14:paraId="420F9A4F" w14:textId="77777777" w:rsidR="00554C9F" w:rsidRPr="00657435" w:rsidRDefault="00554C9F" w:rsidP="00657435">
      <w:pPr>
        <w:tabs>
          <w:tab w:val="left" w:pos="142"/>
          <w:tab w:val="left" w:pos="284"/>
          <w:tab w:val="left" w:pos="426"/>
        </w:tabs>
        <w:spacing w:after="0" w:line="240" w:lineRule="auto"/>
        <w:contextualSpacing/>
        <w:jc w:val="both"/>
        <w:rPr>
          <w:rFonts w:ascii="Garamond" w:hAnsi="Garamond" w:cs="Times New Roman"/>
          <w:b/>
          <w:bCs/>
          <w:noProof/>
          <w:sz w:val="26"/>
          <w:szCs w:val="26"/>
          <w:lang w:val="id-ID"/>
        </w:rPr>
      </w:pPr>
      <w:r w:rsidRPr="00657435">
        <w:rPr>
          <w:rFonts w:ascii="Garamond" w:hAnsi="Garamond" w:cs="Times New Roman"/>
          <w:b/>
          <w:bCs/>
          <w:noProof/>
          <w:sz w:val="26"/>
          <w:szCs w:val="26"/>
          <w:lang w:val="id-ID"/>
        </w:rPr>
        <w:lastRenderedPageBreak/>
        <w:t>Funding</w:t>
      </w:r>
    </w:p>
    <w:p w14:paraId="6B9F8FE1" w14:textId="77777777" w:rsidR="00554C9F" w:rsidRPr="00657435" w:rsidRDefault="00554C9F" w:rsidP="00657435">
      <w:pPr>
        <w:tabs>
          <w:tab w:val="left" w:pos="142"/>
          <w:tab w:val="left" w:pos="284"/>
          <w:tab w:val="left" w:pos="426"/>
        </w:tabs>
        <w:spacing w:after="0" w:line="240" w:lineRule="auto"/>
        <w:contextualSpacing/>
        <w:jc w:val="both"/>
        <w:rPr>
          <w:rFonts w:ascii="Garamond" w:hAnsi="Garamond" w:cs="Times New Roman"/>
          <w:noProof/>
          <w:sz w:val="26"/>
          <w:szCs w:val="26"/>
          <w:lang w:val="id-ID"/>
        </w:rPr>
      </w:pPr>
      <w:r w:rsidRPr="00657435">
        <w:rPr>
          <w:rFonts w:ascii="Garamond" w:hAnsi="Garamond" w:cs="Times New Roman"/>
          <w:noProof/>
          <w:sz w:val="26"/>
          <w:szCs w:val="26"/>
          <w:lang w:val="id-ID"/>
        </w:rPr>
        <w:t>This work was supported by the Indonesia Endowment Fund for Education Agency (Lembaga Pengelola Dana Pendidikan, Indonesia)</w:t>
      </w:r>
      <w:r w:rsidRPr="00657435">
        <w:rPr>
          <w:rFonts w:ascii="Garamond" w:hAnsi="Garamond"/>
          <w:sz w:val="26"/>
          <w:szCs w:val="26"/>
        </w:rPr>
        <w:t xml:space="preserve"> and the Higher Education Funding Agency (BPPT)</w:t>
      </w:r>
      <w:r w:rsidRPr="00657435">
        <w:rPr>
          <w:rFonts w:ascii="Garamond" w:hAnsi="Garamond" w:cs="Times New Roman"/>
          <w:noProof/>
          <w:sz w:val="26"/>
          <w:szCs w:val="26"/>
          <w:lang w:val="id-ID"/>
        </w:rPr>
        <w:t>.</w:t>
      </w:r>
    </w:p>
    <w:p w14:paraId="635F9A01" w14:textId="77777777" w:rsidR="00554C9F" w:rsidRPr="00657435" w:rsidRDefault="00554C9F" w:rsidP="00657435">
      <w:pPr>
        <w:tabs>
          <w:tab w:val="left" w:pos="142"/>
          <w:tab w:val="left" w:pos="284"/>
          <w:tab w:val="left" w:pos="426"/>
        </w:tabs>
        <w:spacing w:after="0" w:line="240" w:lineRule="auto"/>
        <w:contextualSpacing/>
        <w:jc w:val="both"/>
        <w:rPr>
          <w:rFonts w:ascii="Garamond" w:hAnsi="Garamond" w:cs="Times New Roman"/>
          <w:noProof/>
          <w:sz w:val="26"/>
          <w:szCs w:val="26"/>
          <w:lang w:val="id-ID"/>
        </w:rPr>
      </w:pPr>
    </w:p>
    <w:p w14:paraId="4F47A9B5" w14:textId="77777777" w:rsidR="00554C9F" w:rsidRPr="00657435" w:rsidRDefault="00554C9F" w:rsidP="00657435">
      <w:pPr>
        <w:pStyle w:val="ListParagraph"/>
        <w:tabs>
          <w:tab w:val="left" w:pos="142"/>
          <w:tab w:val="left" w:pos="284"/>
          <w:tab w:val="left" w:pos="426"/>
        </w:tabs>
        <w:spacing w:after="0" w:line="240" w:lineRule="auto"/>
        <w:ind w:left="0"/>
        <w:jc w:val="both"/>
        <w:rPr>
          <w:rFonts w:ascii="Garamond" w:hAnsi="Garamond"/>
          <w:b/>
          <w:bCs/>
          <w:sz w:val="26"/>
          <w:szCs w:val="26"/>
        </w:rPr>
      </w:pPr>
      <w:r w:rsidRPr="00657435">
        <w:rPr>
          <w:rFonts w:ascii="Garamond" w:hAnsi="Garamond" w:cs="Times New Roman"/>
          <w:b/>
          <w:bCs/>
          <w:noProof/>
          <w:sz w:val="26"/>
          <w:szCs w:val="26"/>
        </w:rPr>
        <w:t>Data Availability Statement</w:t>
      </w:r>
    </w:p>
    <w:p w14:paraId="0B466C9C" w14:textId="20995F2A" w:rsidR="00554C9F" w:rsidRPr="00657435" w:rsidRDefault="00554C9F"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r w:rsidRPr="00657435">
        <w:rPr>
          <w:rFonts w:ascii="Garamond" w:hAnsi="Garamond" w:cs="Times New Roman"/>
          <w:sz w:val="26"/>
          <w:szCs w:val="26"/>
        </w:rPr>
        <w:t xml:space="preserve">The data used in this study were obtained from the Scopus database and consist of publicly accessible bibliographic records retrieved using predefined search criteria. The datasets were </w:t>
      </w:r>
      <w:proofErr w:type="spellStart"/>
      <w:r w:rsidRPr="00657435">
        <w:rPr>
          <w:rFonts w:ascii="Garamond" w:hAnsi="Garamond" w:cs="Times New Roman"/>
          <w:sz w:val="26"/>
          <w:szCs w:val="26"/>
        </w:rPr>
        <w:t>analyzed</w:t>
      </w:r>
      <w:proofErr w:type="spellEnd"/>
      <w:r w:rsidRPr="00657435">
        <w:rPr>
          <w:rFonts w:ascii="Garamond" w:hAnsi="Garamond" w:cs="Times New Roman"/>
          <w:sz w:val="26"/>
          <w:szCs w:val="26"/>
        </w:rPr>
        <w:t xml:space="preserve"> through bibliometric techniques and systematic review procedures. Processed data supporting the findings of this study are available from the corresponding author upon reasonable request.</w:t>
      </w:r>
    </w:p>
    <w:p w14:paraId="36E4A028" w14:textId="77777777" w:rsidR="00554C9F" w:rsidRPr="00657435" w:rsidRDefault="00554C9F" w:rsidP="00657435">
      <w:pPr>
        <w:pStyle w:val="ListParagraph"/>
        <w:tabs>
          <w:tab w:val="left" w:pos="142"/>
          <w:tab w:val="left" w:pos="284"/>
          <w:tab w:val="left" w:pos="426"/>
        </w:tabs>
        <w:spacing w:after="0" w:line="240" w:lineRule="auto"/>
        <w:ind w:left="0"/>
        <w:jc w:val="both"/>
        <w:rPr>
          <w:rFonts w:ascii="Garamond" w:hAnsi="Garamond" w:cs="Times New Roman"/>
          <w:sz w:val="26"/>
          <w:szCs w:val="26"/>
        </w:rPr>
      </w:pPr>
    </w:p>
    <w:p w14:paraId="65C885B4" w14:textId="371D3781" w:rsidR="00C70616" w:rsidRPr="00657435" w:rsidRDefault="00C70616"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r w:rsidRPr="00657435">
        <w:rPr>
          <w:rFonts w:ascii="Garamond" w:hAnsi="Garamond" w:cs="Times New Roman"/>
          <w:b/>
          <w:bCs/>
          <w:noProof/>
          <w:sz w:val="26"/>
          <w:szCs w:val="26"/>
        </w:rPr>
        <w:t>Declaration of the use of AI</w:t>
      </w:r>
    </w:p>
    <w:p w14:paraId="76E70EE0" w14:textId="389366E0" w:rsidR="00C70616" w:rsidRPr="00657435" w:rsidRDefault="00C70616" w:rsidP="00657435">
      <w:pPr>
        <w:pStyle w:val="ListParagraph"/>
        <w:tabs>
          <w:tab w:val="left" w:pos="142"/>
          <w:tab w:val="left" w:pos="284"/>
          <w:tab w:val="left" w:pos="426"/>
        </w:tabs>
        <w:spacing w:after="0" w:line="240" w:lineRule="auto"/>
        <w:ind w:left="0"/>
        <w:jc w:val="both"/>
        <w:rPr>
          <w:rFonts w:ascii="Garamond" w:hAnsi="Garamond" w:cs="Times New Roman"/>
          <w:noProof/>
          <w:sz w:val="26"/>
          <w:szCs w:val="26"/>
        </w:rPr>
      </w:pPr>
      <w:r w:rsidRPr="00657435">
        <w:rPr>
          <w:rFonts w:ascii="Garamond" w:hAnsi="Garamond" w:cs="Times New Roman"/>
          <w:sz w:val="26"/>
          <w:szCs w:val="26"/>
        </w:rPr>
        <w:t xml:space="preserve">During the preparation of this work, the author(s) used ChatGPT (OpenAI), and </w:t>
      </w:r>
      <w:proofErr w:type="spellStart"/>
      <w:r w:rsidRPr="00657435">
        <w:rPr>
          <w:rFonts w:ascii="Garamond" w:hAnsi="Garamond" w:cs="Times New Roman"/>
          <w:sz w:val="26"/>
          <w:szCs w:val="26"/>
        </w:rPr>
        <w:t>QuillBot</w:t>
      </w:r>
      <w:proofErr w:type="spellEnd"/>
      <w:r w:rsidRPr="00657435">
        <w:rPr>
          <w:rFonts w:ascii="Garamond" w:hAnsi="Garamond" w:cs="Times New Roman"/>
          <w:sz w:val="26"/>
          <w:szCs w:val="26"/>
        </w:rPr>
        <w:t xml:space="preserve"> to improve the readability, coherence, and language clarity of the manuscript. All content generated with these tools was critically reviewed, revised, and edited by the author(s), who take full responsibility for the integrity, accuracy, and originality of the final published article.</w:t>
      </w:r>
    </w:p>
    <w:p w14:paraId="5682363D" w14:textId="77777777" w:rsidR="00217057" w:rsidRPr="00657435" w:rsidRDefault="00217057"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p>
    <w:p w14:paraId="0DD07421" w14:textId="7092524D" w:rsidR="008D1922" w:rsidRPr="00657435" w:rsidRDefault="008D1922"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r w:rsidRPr="00657435">
        <w:rPr>
          <w:rFonts w:ascii="Garamond" w:hAnsi="Garamond" w:cs="Times New Roman"/>
          <w:b/>
          <w:bCs/>
          <w:noProof/>
          <w:sz w:val="26"/>
          <w:szCs w:val="26"/>
        </w:rPr>
        <w:t>Reference</w:t>
      </w:r>
    </w:p>
    <w:p w14:paraId="4E98A9B4" w14:textId="77777777" w:rsidR="000675C6" w:rsidRPr="00657435" w:rsidRDefault="00851D42"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b/>
          <w:bCs/>
          <w:noProof/>
          <w:sz w:val="26"/>
          <w:szCs w:val="26"/>
        </w:rPr>
        <w:fldChar w:fldCharType="begin"/>
      </w:r>
      <w:r w:rsidR="00985D84" w:rsidRPr="00657435">
        <w:rPr>
          <w:rFonts w:ascii="Garamond" w:hAnsi="Garamond" w:cs="Times New Roman"/>
          <w:b/>
          <w:bCs/>
          <w:noProof/>
          <w:sz w:val="26"/>
          <w:szCs w:val="26"/>
        </w:rPr>
        <w:instrText xml:space="preserve"> ADDIN ZOTERO_BIBL {"uncited":[],"omitted":[],"custom":[]} CSL_BIBLIOGRAPHY </w:instrText>
      </w:r>
      <w:r w:rsidRPr="00657435">
        <w:rPr>
          <w:rFonts w:ascii="Garamond" w:hAnsi="Garamond" w:cs="Times New Roman"/>
          <w:b/>
          <w:bCs/>
          <w:noProof/>
          <w:sz w:val="26"/>
          <w:szCs w:val="26"/>
        </w:rPr>
        <w:fldChar w:fldCharType="separate"/>
      </w:r>
      <w:proofErr w:type="spellStart"/>
      <w:r w:rsidR="000675C6" w:rsidRPr="00657435">
        <w:rPr>
          <w:rFonts w:ascii="Garamond" w:hAnsi="Garamond" w:cs="Times New Roman"/>
          <w:sz w:val="26"/>
          <w:szCs w:val="26"/>
        </w:rPr>
        <w:t>Akihary</w:t>
      </w:r>
      <w:proofErr w:type="spellEnd"/>
      <w:r w:rsidR="000675C6" w:rsidRPr="00657435">
        <w:rPr>
          <w:rFonts w:ascii="Garamond" w:hAnsi="Garamond" w:cs="Times New Roman"/>
          <w:sz w:val="26"/>
          <w:szCs w:val="26"/>
        </w:rPr>
        <w:t xml:space="preserve">, W., Maruanaya, R. F., Lestuny, C., &amp; Maruanaya, S. P. (2023). The YouTube-assisted discovery learning model: Improving students’ cognitive learning outcomes and critical thinking. </w:t>
      </w:r>
      <w:r w:rsidR="000675C6" w:rsidRPr="00657435">
        <w:rPr>
          <w:rFonts w:ascii="Garamond" w:hAnsi="Garamond" w:cs="Times New Roman"/>
          <w:i/>
          <w:iCs/>
          <w:sz w:val="26"/>
          <w:szCs w:val="26"/>
        </w:rPr>
        <w:t>Journal of Education and Learning (EduLearn)</w:t>
      </w:r>
      <w:r w:rsidR="000675C6" w:rsidRPr="00657435">
        <w:rPr>
          <w:rFonts w:ascii="Garamond" w:hAnsi="Garamond" w:cs="Times New Roman"/>
          <w:sz w:val="26"/>
          <w:szCs w:val="26"/>
        </w:rPr>
        <w:t xml:space="preserve">, </w:t>
      </w:r>
      <w:r w:rsidR="000675C6" w:rsidRPr="00657435">
        <w:rPr>
          <w:rFonts w:ascii="Garamond" w:hAnsi="Garamond" w:cs="Times New Roman"/>
          <w:i/>
          <w:iCs/>
          <w:sz w:val="26"/>
          <w:szCs w:val="26"/>
        </w:rPr>
        <w:t>17</w:t>
      </w:r>
      <w:r w:rsidR="000675C6" w:rsidRPr="00657435">
        <w:rPr>
          <w:rFonts w:ascii="Garamond" w:hAnsi="Garamond" w:cs="Times New Roman"/>
          <w:sz w:val="26"/>
          <w:szCs w:val="26"/>
        </w:rPr>
        <w:t>(4), Article 4. https://doi.org/10.11591/edulearn.v17i4.20851</w:t>
      </w:r>
    </w:p>
    <w:p w14:paraId="51B33754"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Akman, A., &amp; Erdirençelebi, M. (2024). A Human-Centered Digital Transformation: A Bibliometric Analysis of Society 5.0 and Industry 5.0. </w:t>
      </w:r>
      <w:r w:rsidRPr="00657435">
        <w:rPr>
          <w:rFonts w:ascii="Garamond" w:hAnsi="Garamond" w:cs="Times New Roman"/>
          <w:i/>
          <w:iCs/>
          <w:sz w:val="26"/>
          <w:szCs w:val="26"/>
        </w:rPr>
        <w:t>Istanbul Management Journal</w:t>
      </w:r>
      <w:r w:rsidRPr="00657435">
        <w:rPr>
          <w:rFonts w:ascii="Garamond" w:hAnsi="Garamond" w:cs="Times New Roman"/>
          <w:sz w:val="26"/>
          <w:szCs w:val="26"/>
        </w:rPr>
        <w:t xml:space="preserve">, </w:t>
      </w:r>
      <w:r w:rsidRPr="00657435">
        <w:rPr>
          <w:rFonts w:ascii="Garamond" w:hAnsi="Garamond" w:cs="Times New Roman"/>
          <w:i/>
          <w:iCs/>
          <w:sz w:val="26"/>
          <w:szCs w:val="26"/>
        </w:rPr>
        <w:t>0</w:t>
      </w:r>
      <w:r w:rsidRPr="00657435">
        <w:rPr>
          <w:rFonts w:ascii="Garamond" w:hAnsi="Garamond" w:cs="Times New Roman"/>
          <w:sz w:val="26"/>
          <w:szCs w:val="26"/>
        </w:rPr>
        <w:t>(96), 1–16. https://doi.org/10.26650/imj.2024.96.1361480</w:t>
      </w:r>
    </w:p>
    <w:p w14:paraId="24A149CF"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Althabhawi, N. M., Zainol, Z. A., &amp; Bagheri, P. (2022). Society 5.0: A New Challenge to Legal Norms. </w:t>
      </w:r>
      <w:r w:rsidRPr="00657435">
        <w:rPr>
          <w:rFonts w:ascii="Garamond" w:hAnsi="Garamond" w:cs="Times New Roman"/>
          <w:i/>
          <w:iCs/>
          <w:sz w:val="26"/>
          <w:szCs w:val="26"/>
        </w:rPr>
        <w:t>Sriwijaya Law Review</w:t>
      </w:r>
      <w:r w:rsidRPr="00657435">
        <w:rPr>
          <w:rFonts w:ascii="Garamond" w:hAnsi="Garamond" w:cs="Times New Roman"/>
          <w:sz w:val="26"/>
          <w:szCs w:val="26"/>
        </w:rPr>
        <w:t xml:space="preserve">, 41–54. </w:t>
      </w:r>
    </w:p>
    <w:p w14:paraId="635E82A8" w14:textId="60547F37"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https://doi.org/10.28946/slrev.Vol6.Iss1.1415.pp41-54</w:t>
      </w:r>
    </w:p>
    <w:p w14:paraId="3BC74B83"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Angganing, P., Budiningsih, C. A., &amp; Haryanto. (2023). The profile of students’ communication skills on science Learning in elementary schools. </w:t>
      </w:r>
      <w:r w:rsidRPr="00657435">
        <w:rPr>
          <w:rFonts w:ascii="Garamond" w:hAnsi="Garamond" w:cs="Times New Roman"/>
          <w:i/>
          <w:iCs/>
          <w:sz w:val="26"/>
          <w:szCs w:val="26"/>
        </w:rPr>
        <w:t>Pegem Journal of Education and Instruction</w:t>
      </w:r>
      <w:r w:rsidRPr="00657435">
        <w:rPr>
          <w:rFonts w:ascii="Garamond" w:hAnsi="Garamond" w:cs="Times New Roman"/>
          <w:sz w:val="26"/>
          <w:szCs w:val="26"/>
        </w:rPr>
        <w:t xml:space="preserve">, </w:t>
      </w:r>
      <w:r w:rsidRPr="00657435">
        <w:rPr>
          <w:rFonts w:ascii="Garamond" w:hAnsi="Garamond" w:cs="Times New Roman"/>
          <w:i/>
          <w:iCs/>
          <w:sz w:val="26"/>
          <w:szCs w:val="26"/>
        </w:rPr>
        <w:t>13</w:t>
      </w:r>
      <w:r w:rsidRPr="00657435">
        <w:rPr>
          <w:rFonts w:ascii="Garamond" w:hAnsi="Garamond" w:cs="Times New Roman"/>
          <w:sz w:val="26"/>
          <w:szCs w:val="26"/>
        </w:rPr>
        <w:t>(1), Article 1. https://doi.org/10.47750/pegegog.13.01.14</w:t>
      </w:r>
    </w:p>
    <w:p w14:paraId="67A8AA51"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Aprilisa, E. (2020). Realizing Society 5.0 to Face the Industrial Revolution 4.0 and Teacher Education Curriculum Readiness in Indonesia. </w:t>
      </w:r>
      <w:r w:rsidRPr="00657435">
        <w:rPr>
          <w:rFonts w:ascii="Garamond" w:hAnsi="Garamond" w:cs="Times New Roman"/>
          <w:i/>
          <w:iCs/>
          <w:sz w:val="26"/>
          <w:szCs w:val="26"/>
        </w:rPr>
        <w:t>Proceeding International Conference on Science and Engineering</w:t>
      </w:r>
      <w:r w:rsidRPr="00657435">
        <w:rPr>
          <w:rFonts w:ascii="Garamond" w:hAnsi="Garamond" w:cs="Times New Roman"/>
          <w:sz w:val="26"/>
          <w:szCs w:val="26"/>
        </w:rPr>
        <w:t xml:space="preserve">, </w:t>
      </w:r>
      <w:r w:rsidRPr="00657435">
        <w:rPr>
          <w:rFonts w:ascii="Garamond" w:hAnsi="Garamond" w:cs="Times New Roman"/>
          <w:i/>
          <w:iCs/>
          <w:sz w:val="26"/>
          <w:szCs w:val="26"/>
        </w:rPr>
        <w:t>3</w:t>
      </w:r>
      <w:r w:rsidRPr="00657435">
        <w:rPr>
          <w:rFonts w:ascii="Garamond" w:hAnsi="Garamond" w:cs="Times New Roman"/>
          <w:sz w:val="26"/>
          <w:szCs w:val="26"/>
        </w:rPr>
        <w:t>, 543–548. https://doi.org/10.14421/icse.v3.559</w:t>
      </w:r>
    </w:p>
    <w:p w14:paraId="6F2B0465"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Aria, M., &amp; Cuccurullo, C. (2017). bibliometrix: An R-tool for comprehensive science mapping analysis. </w:t>
      </w:r>
      <w:r w:rsidRPr="00657435">
        <w:rPr>
          <w:rFonts w:ascii="Garamond" w:hAnsi="Garamond" w:cs="Times New Roman"/>
          <w:i/>
          <w:iCs/>
          <w:sz w:val="26"/>
          <w:szCs w:val="26"/>
        </w:rPr>
        <w:t>Journal of Informetrics</w:t>
      </w:r>
      <w:r w:rsidRPr="00657435">
        <w:rPr>
          <w:rFonts w:ascii="Garamond" w:hAnsi="Garamond" w:cs="Times New Roman"/>
          <w:sz w:val="26"/>
          <w:szCs w:val="26"/>
        </w:rPr>
        <w:t xml:space="preserve">, </w:t>
      </w:r>
      <w:r w:rsidRPr="00657435">
        <w:rPr>
          <w:rFonts w:ascii="Garamond" w:hAnsi="Garamond" w:cs="Times New Roman"/>
          <w:i/>
          <w:iCs/>
          <w:sz w:val="26"/>
          <w:szCs w:val="26"/>
        </w:rPr>
        <w:t>11</w:t>
      </w:r>
      <w:r w:rsidRPr="00657435">
        <w:rPr>
          <w:rFonts w:ascii="Garamond" w:hAnsi="Garamond" w:cs="Times New Roman"/>
          <w:sz w:val="26"/>
          <w:szCs w:val="26"/>
        </w:rPr>
        <w:t xml:space="preserve">(4), 959–975. </w:t>
      </w:r>
    </w:p>
    <w:p w14:paraId="4C9ADB70" w14:textId="61615C9E"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https://doi.org/10.1016/j.joi.2017.08.007</w:t>
      </w:r>
    </w:p>
    <w:p w14:paraId="6BE134BF"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Arviani, F. P., Wahyudin, D., &amp; Dewi, L. (2023). Role of Teaching Strategies in Promoting Students’ Higher Order Thinking Skills and Critical Thinking Dispositions. </w:t>
      </w:r>
      <w:r w:rsidRPr="00657435">
        <w:rPr>
          <w:rFonts w:ascii="Garamond" w:hAnsi="Garamond" w:cs="Times New Roman"/>
          <w:i/>
          <w:iCs/>
          <w:sz w:val="26"/>
          <w:szCs w:val="26"/>
        </w:rPr>
        <w:t>International Journal of Learning, Teaching and Educational Research</w:t>
      </w:r>
      <w:r w:rsidRPr="00657435">
        <w:rPr>
          <w:rFonts w:ascii="Garamond" w:hAnsi="Garamond" w:cs="Times New Roman"/>
          <w:sz w:val="26"/>
          <w:szCs w:val="26"/>
        </w:rPr>
        <w:t xml:space="preserve">, </w:t>
      </w:r>
      <w:r w:rsidRPr="00657435">
        <w:rPr>
          <w:rFonts w:ascii="Garamond" w:hAnsi="Garamond" w:cs="Times New Roman"/>
          <w:i/>
          <w:iCs/>
          <w:sz w:val="26"/>
          <w:szCs w:val="26"/>
        </w:rPr>
        <w:t>22</w:t>
      </w:r>
      <w:r w:rsidRPr="00657435">
        <w:rPr>
          <w:rFonts w:ascii="Garamond" w:hAnsi="Garamond" w:cs="Times New Roman"/>
          <w:sz w:val="26"/>
          <w:szCs w:val="26"/>
        </w:rPr>
        <w:t>(9), Article 9. https://doi.org/10.26803/ijlter.22.9.19</w:t>
      </w:r>
    </w:p>
    <w:p w14:paraId="39B17428"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Baas, J., Schotten, M., Plume, A., Côté, G., &amp; Karimi, R. (2020). Scopus as a curated, high-quality bibliometric data source for academic research in quantitative science studies. </w:t>
      </w:r>
      <w:r w:rsidRPr="00657435">
        <w:rPr>
          <w:rFonts w:ascii="Garamond" w:hAnsi="Garamond" w:cs="Times New Roman"/>
          <w:i/>
          <w:iCs/>
          <w:sz w:val="26"/>
          <w:szCs w:val="26"/>
        </w:rPr>
        <w:t>Quantitative Science Studies</w:t>
      </w:r>
      <w:r w:rsidRPr="00657435">
        <w:rPr>
          <w:rFonts w:ascii="Garamond" w:hAnsi="Garamond" w:cs="Times New Roman"/>
          <w:sz w:val="26"/>
          <w:szCs w:val="26"/>
        </w:rPr>
        <w:t xml:space="preserve">, </w:t>
      </w:r>
      <w:r w:rsidRPr="00657435">
        <w:rPr>
          <w:rFonts w:ascii="Garamond" w:hAnsi="Garamond" w:cs="Times New Roman"/>
          <w:i/>
          <w:iCs/>
          <w:sz w:val="26"/>
          <w:szCs w:val="26"/>
        </w:rPr>
        <w:t>1</w:t>
      </w:r>
      <w:r w:rsidRPr="00657435">
        <w:rPr>
          <w:rFonts w:ascii="Garamond" w:hAnsi="Garamond" w:cs="Times New Roman"/>
          <w:sz w:val="26"/>
          <w:szCs w:val="26"/>
        </w:rPr>
        <w:t>, 1–10. https://doi.org/10.1162/qss_a_00019</w:t>
      </w:r>
    </w:p>
    <w:p w14:paraId="67C1E43E"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Barik, N., &amp; Jena, P. (2019). Visibility and growth of LIS research publications: A Scopus based analysis of select open access journals during 2001 to 2015. </w:t>
      </w:r>
      <w:r w:rsidRPr="00657435">
        <w:rPr>
          <w:rFonts w:ascii="Garamond" w:hAnsi="Garamond" w:cs="Times New Roman"/>
          <w:i/>
          <w:iCs/>
          <w:sz w:val="26"/>
          <w:szCs w:val="26"/>
        </w:rPr>
        <w:t>Library Hi Tech News</w:t>
      </w:r>
      <w:r w:rsidRPr="00657435">
        <w:rPr>
          <w:rFonts w:ascii="Garamond" w:hAnsi="Garamond" w:cs="Times New Roman"/>
          <w:sz w:val="26"/>
          <w:szCs w:val="26"/>
        </w:rPr>
        <w:t xml:space="preserve">, </w:t>
      </w:r>
      <w:r w:rsidRPr="00657435">
        <w:rPr>
          <w:rFonts w:ascii="Garamond" w:hAnsi="Garamond" w:cs="Times New Roman"/>
          <w:i/>
          <w:iCs/>
          <w:sz w:val="26"/>
          <w:szCs w:val="26"/>
        </w:rPr>
        <w:t>ahead-of-print</w:t>
      </w:r>
      <w:r w:rsidRPr="00657435">
        <w:rPr>
          <w:rFonts w:ascii="Garamond" w:hAnsi="Garamond" w:cs="Times New Roman"/>
          <w:sz w:val="26"/>
          <w:szCs w:val="26"/>
        </w:rPr>
        <w:t>. https://doi.org/10.1108/LHTN-05-2019-0035</w:t>
      </w:r>
    </w:p>
    <w:p w14:paraId="145E03D4"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lastRenderedPageBreak/>
        <w:t xml:space="preserve">Chang, S.-C., &amp; Hwang, G.-J. (2018). Impacts of an augmented reality-based flipped learning guiding approach on students’ scientific project performance and perceptions. </w:t>
      </w:r>
      <w:r w:rsidRPr="00657435">
        <w:rPr>
          <w:rFonts w:ascii="Garamond" w:hAnsi="Garamond" w:cs="Times New Roman"/>
          <w:i/>
          <w:iCs/>
          <w:sz w:val="26"/>
          <w:szCs w:val="26"/>
        </w:rPr>
        <w:t>Computers &amp; Education</w:t>
      </w:r>
      <w:r w:rsidRPr="00657435">
        <w:rPr>
          <w:rFonts w:ascii="Garamond" w:hAnsi="Garamond" w:cs="Times New Roman"/>
          <w:sz w:val="26"/>
          <w:szCs w:val="26"/>
        </w:rPr>
        <w:t xml:space="preserve">, </w:t>
      </w:r>
      <w:r w:rsidRPr="00657435">
        <w:rPr>
          <w:rFonts w:ascii="Garamond" w:hAnsi="Garamond" w:cs="Times New Roman"/>
          <w:i/>
          <w:iCs/>
          <w:sz w:val="26"/>
          <w:szCs w:val="26"/>
        </w:rPr>
        <w:t>125</w:t>
      </w:r>
      <w:r w:rsidRPr="00657435">
        <w:rPr>
          <w:rFonts w:ascii="Garamond" w:hAnsi="Garamond" w:cs="Times New Roman"/>
          <w:sz w:val="26"/>
          <w:szCs w:val="26"/>
        </w:rPr>
        <w:t>, 226–239. https://doi.org/10.1016/j.compedu.2018.06.007</w:t>
      </w:r>
    </w:p>
    <w:p w14:paraId="75C5A5AB"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Chistyakov, A. A., Zhdanov, S. P., Avdeeva, E. L., Dyadichenko, E. A., Kunitsyna, M. L., &amp; Yagudina, R. I. (2023). Exploring the characteristics and effectiveness of project-based learning for science and STEAM education. </w:t>
      </w:r>
      <w:r w:rsidRPr="00657435">
        <w:rPr>
          <w:rFonts w:ascii="Garamond" w:hAnsi="Garamond" w:cs="Times New Roman"/>
          <w:i/>
          <w:iCs/>
          <w:sz w:val="26"/>
          <w:szCs w:val="26"/>
        </w:rPr>
        <w:t>Eurasia Journal of Mathematics, Science and Technology Education</w:t>
      </w:r>
      <w:r w:rsidRPr="00657435">
        <w:rPr>
          <w:rFonts w:ascii="Garamond" w:hAnsi="Garamond" w:cs="Times New Roman"/>
          <w:sz w:val="26"/>
          <w:szCs w:val="26"/>
        </w:rPr>
        <w:t xml:space="preserve">, </w:t>
      </w:r>
      <w:r w:rsidRPr="00657435">
        <w:rPr>
          <w:rFonts w:ascii="Garamond" w:hAnsi="Garamond" w:cs="Times New Roman"/>
          <w:i/>
          <w:iCs/>
          <w:sz w:val="26"/>
          <w:szCs w:val="26"/>
        </w:rPr>
        <w:t>19</w:t>
      </w:r>
      <w:r w:rsidRPr="00657435">
        <w:rPr>
          <w:rFonts w:ascii="Garamond" w:hAnsi="Garamond" w:cs="Times New Roman"/>
          <w:sz w:val="26"/>
          <w:szCs w:val="26"/>
        </w:rPr>
        <w:t>(5), Article 5. https://doi.org/10.29333/ejmste/13128</w:t>
      </w:r>
    </w:p>
    <w:p w14:paraId="54ED10FD"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Chusni, M. M., Saputro, S., Doctoral Program in Natural Science Education, Universitas Sebelas Maret, Surakarta, Indonesia, sulistyo_s@staff.uns.ac.id, Suranto, S., Doctoral Program in Natural Science Education, Universitas Sebelas Maret, Surakarta, Indonesia, suranto57@staff.uns.ac.id, Rahardjo, S. B., &amp; Doctoral Program in Natural Science Education, Universitas Sebelas Maret, Surakarta, Indonesia, </w:t>
      </w:r>
    </w:p>
    <w:p w14:paraId="3A71802A" w14:textId="7E4FC2B2"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sentotbr@staff.uns.ac.id. (2022). Enhancing Critical Thinking Skills of Junior High School Students through Discovery-Based Multiple Representations Learning Model. </w:t>
      </w:r>
      <w:r w:rsidRPr="00657435">
        <w:rPr>
          <w:rFonts w:ascii="Garamond" w:hAnsi="Garamond" w:cs="Times New Roman"/>
          <w:i/>
          <w:iCs/>
          <w:sz w:val="26"/>
          <w:szCs w:val="26"/>
        </w:rPr>
        <w:t>International Journal of Instruction</w:t>
      </w:r>
      <w:r w:rsidRPr="00657435">
        <w:rPr>
          <w:rFonts w:ascii="Garamond" w:hAnsi="Garamond" w:cs="Times New Roman"/>
          <w:sz w:val="26"/>
          <w:szCs w:val="26"/>
        </w:rPr>
        <w:t xml:space="preserve">, </w:t>
      </w:r>
      <w:r w:rsidRPr="00657435">
        <w:rPr>
          <w:rFonts w:ascii="Garamond" w:hAnsi="Garamond" w:cs="Times New Roman"/>
          <w:i/>
          <w:iCs/>
          <w:sz w:val="26"/>
          <w:szCs w:val="26"/>
        </w:rPr>
        <w:t>15</w:t>
      </w:r>
      <w:r w:rsidRPr="00657435">
        <w:rPr>
          <w:rFonts w:ascii="Garamond" w:hAnsi="Garamond" w:cs="Times New Roman"/>
          <w:sz w:val="26"/>
          <w:szCs w:val="26"/>
        </w:rPr>
        <w:t>(1), Article 1. https://doi.org/10.29333/iji.2022.15153a</w:t>
      </w:r>
    </w:p>
    <w:p w14:paraId="2F4EAC97"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Darvish, H. (2020). Bibliometric Analysis using Bibliometrix an R Package. </w:t>
      </w:r>
      <w:r w:rsidRPr="00657435">
        <w:rPr>
          <w:rFonts w:ascii="Garamond" w:hAnsi="Garamond" w:cs="Times New Roman"/>
          <w:i/>
          <w:iCs/>
          <w:sz w:val="26"/>
          <w:szCs w:val="26"/>
        </w:rPr>
        <w:t>Journal of Scientometric Research</w:t>
      </w:r>
      <w:r w:rsidRPr="00657435">
        <w:rPr>
          <w:rFonts w:ascii="Garamond" w:hAnsi="Garamond" w:cs="Times New Roman"/>
          <w:sz w:val="26"/>
          <w:szCs w:val="26"/>
        </w:rPr>
        <w:t xml:space="preserve">, </w:t>
      </w:r>
      <w:r w:rsidRPr="00657435">
        <w:rPr>
          <w:rFonts w:ascii="Garamond" w:hAnsi="Garamond" w:cs="Times New Roman"/>
          <w:i/>
          <w:iCs/>
          <w:sz w:val="26"/>
          <w:szCs w:val="26"/>
        </w:rPr>
        <w:t>8</w:t>
      </w:r>
      <w:r w:rsidRPr="00657435">
        <w:rPr>
          <w:rFonts w:ascii="Garamond" w:hAnsi="Garamond" w:cs="Times New Roman"/>
          <w:sz w:val="26"/>
          <w:szCs w:val="26"/>
        </w:rPr>
        <w:t>, 156–160. https://doi.org/10.5530/jscires.8.3.32</w:t>
      </w:r>
    </w:p>
    <w:p w14:paraId="270E0EFA"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Delalić, V. (2022). Developing Ecological Education Through Extracurricular Activities. </w:t>
      </w:r>
      <w:r w:rsidRPr="00657435">
        <w:rPr>
          <w:rFonts w:ascii="Garamond" w:hAnsi="Garamond" w:cs="Times New Roman"/>
          <w:i/>
          <w:iCs/>
          <w:sz w:val="26"/>
          <w:szCs w:val="26"/>
        </w:rPr>
        <w:t>Društvene i humanističke studije (Online)</w:t>
      </w:r>
      <w:r w:rsidRPr="00657435">
        <w:rPr>
          <w:rFonts w:ascii="Garamond" w:hAnsi="Garamond" w:cs="Times New Roman"/>
          <w:sz w:val="26"/>
          <w:szCs w:val="26"/>
        </w:rPr>
        <w:t xml:space="preserve">, </w:t>
      </w:r>
      <w:r w:rsidRPr="00657435">
        <w:rPr>
          <w:rFonts w:ascii="Garamond" w:hAnsi="Garamond" w:cs="Times New Roman"/>
          <w:i/>
          <w:iCs/>
          <w:sz w:val="26"/>
          <w:szCs w:val="26"/>
        </w:rPr>
        <w:t>7</w:t>
      </w:r>
      <w:r w:rsidRPr="00657435">
        <w:rPr>
          <w:rFonts w:ascii="Garamond" w:hAnsi="Garamond" w:cs="Times New Roman"/>
          <w:sz w:val="26"/>
          <w:szCs w:val="26"/>
        </w:rPr>
        <w:t xml:space="preserve">(1(18)), 435–450. </w:t>
      </w:r>
    </w:p>
    <w:p w14:paraId="783FF4D1" w14:textId="25B18A29"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https://doi.org/10.51558/2490-3647.2022.7.1.435</w:t>
      </w:r>
    </w:p>
    <w:p w14:paraId="79459AC7"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Devra Raihan, P., Wardani, S., &amp; Isdaryanti, B. (2023). Development of Teaching Materials Based on Multiple Intelligences with Project Based Learning to Increase Creativity and Science Learning Outcomes for Grade VI Elementary School Students in Semarang City. </w:t>
      </w:r>
      <w:r w:rsidRPr="00657435">
        <w:rPr>
          <w:rFonts w:ascii="Garamond" w:hAnsi="Garamond" w:cs="Times New Roman"/>
          <w:i/>
          <w:iCs/>
          <w:sz w:val="26"/>
          <w:szCs w:val="26"/>
        </w:rPr>
        <w:t>International Journal of Research and Review</w:t>
      </w:r>
      <w:r w:rsidRPr="00657435">
        <w:rPr>
          <w:rFonts w:ascii="Garamond" w:hAnsi="Garamond" w:cs="Times New Roman"/>
          <w:sz w:val="26"/>
          <w:szCs w:val="26"/>
        </w:rPr>
        <w:t xml:space="preserve">, </w:t>
      </w:r>
      <w:r w:rsidRPr="00657435">
        <w:rPr>
          <w:rFonts w:ascii="Garamond" w:hAnsi="Garamond" w:cs="Times New Roman"/>
          <w:i/>
          <w:iCs/>
          <w:sz w:val="26"/>
          <w:szCs w:val="26"/>
        </w:rPr>
        <w:t>10</w:t>
      </w:r>
      <w:r w:rsidRPr="00657435">
        <w:rPr>
          <w:rFonts w:ascii="Garamond" w:hAnsi="Garamond" w:cs="Times New Roman"/>
          <w:sz w:val="26"/>
          <w:szCs w:val="26"/>
        </w:rPr>
        <w:t xml:space="preserve">(6), 318–328. </w:t>
      </w:r>
    </w:p>
    <w:p w14:paraId="489FFF92" w14:textId="6B74C20F"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https://doi.org/10.52403/ijrr.20230639</w:t>
      </w:r>
    </w:p>
    <w:p w14:paraId="3D1C5171"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Dewi, I. P. M., Suryadarma, I. G. P., Wilujeng, I., &amp; Wahyuningsih, S. (2017). The Effect of Science Learning Integrated with Local Potential of Wood Carving and Pottery Towards the Junior High School Students’ Critical Thinking Skills. </w:t>
      </w:r>
      <w:r w:rsidRPr="00657435">
        <w:rPr>
          <w:rFonts w:ascii="Garamond" w:hAnsi="Garamond" w:cs="Times New Roman"/>
          <w:i/>
          <w:iCs/>
          <w:sz w:val="26"/>
          <w:szCs w:val="26"/>
        </w:rPr>
        <w:t>Jurnal Pendidikan IPA Indonesia</w:t>
      </w:r>
      <w:r w:rsidRPr="00657435">
        <w:rPr>
          <w:rFonts w:ascii="Garamond" w:hAnsi="Garamond" w:cs="Times New Roman"/>
          <w:sz w:val="26"/>
          <w:szCs w:val="26"/>
        </w:rPr>
        <w:t xml:space="preserve">, </w:t>
      </w:r>
      <w:r w:rsidRPr="00657435">
        <w:rPr>
          <w:rFonts w:ascii="Garamond" w:hAnsi="Garamond" w:cs="Times New Roman"/>
          <w:i/>
          <w:iCs/>
          <w:sz w:val="26"/>
          <w:szCs w:val="26"/>
        </w:rPr>
        <w:t>6</w:t>
      </w:r>
      <w:r w:rsidRPr="00657435">
        <w:rPr>
          <w:rFonts w:ascii="Garamond" w:hAnsi="Garamond" w:cs="Times New Roman"/>
          <w:sz w:val="26"/>
          <w:szCs w:val="26"/>
        </w:rPr>
        <w:t>(1), Article 1. https://doi.org/10.15294/jpii.v6i1.9598</w:t>
      </w:r>
    </w:p>
    <w:p w14:paraId="026D27E2"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Encabo-Fernández, E., Albarracín-Vivo, D., &amp; Jerez-Martínez, I. (2023). Evaluative research on the critical thinking of primary school students. </w:t>
      </w:r>
      <w:r w:rsidRPr="00657435">
        <w:rPr>
          <w:rFonts w:ascii="Garamond" w:hAnsi="Garamond" w:cs="Times New Roman"/>
          <w:i/>
          <w:iCs/>
          <w:sz w:val="26"/>
          <w:szCs w:val="26"/>
        </w:rPr>
        <w:t>International Journal of Educational Research Open</w:t>
      </w:r>
      <w:r w:rsidRPr="00657435">
        <w:rPr>
          <w:rFonts w:ascii="Garamond" w:hAnsi="Garamond" w:cs="Times New Roman"/>
          <w:sz w:val="26"/>
          <w:szCs w:val="26"/>
        </w:rPr>
        <w:t xml:space="preserve">, </w:t>
      </w:r>
      <w:r w:rsidRPr="00657435">
        <w:rPr>
          <w:rFonts w:ascii="Garamond" w:hAnsi="Garamond" w:cs="Times New Roman"/>
          <w:i/>
          <w:iCs/>
          <w:sz w:val="26"/>
          <w:szCs w:val="26"/>
        </w:rPr>
        <w:t>4</w:t>
      </w:r>
      <w:r w:rsidRPr="00657435">
        <w:rPr>
          <w:rFonts w:ascii="Garamond" w:hAnsi="Garamond" w:cs="Times New Roman"/>
          <w:sz w:val="26"/>
          <w:szCs w:val="26"/>
        </w:rPr>
        <w:t>, 100249. https://doi.org/10.1016/j.ijedro.2023.100249</w:t>
      </w:r>
    </w:p>
    <w:p w14:paraId="309FB5AF"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Fauzi, W. N. A., Wuryandani, W., Supartinah, Santosa, I. S., &amp; Setiawati, Y. (2025). </w:t>
      </w:r>
      <w:r w:rsidRPr="00657435">
        <w:rPr>
          <w:rFonts w:ascii="Garamond" w:hAnsi="Garamond" w:cs="Times New Roman"/>
          <w:i/>
          <w:iCs/>
          <w:sz w:val="26"/>
          <w:szCs w:val="26"/>
        </w:rPr>
        <w:t>Mapping the Evolution of Creative Thinking in Education: A Decade-Long Bibliometric Studies</w:t>
      </w:r>
      <w:r w:rsidRPr="00657435">
        <w:rPr>
          <w:rFonts w:ascii="Garamond" w:hAnsi="Garamond" w:cs="Times New Roman"/>
          <w:sz w:val="26"/>
          <w:szCs w:val="26"/>
        </w:rPr>
        <w:t xml:space="preserve"> (5). </w:t>
      </w:r>
      <w:r w:rsidRPr="00657435">
        <w:rPr>
          <w:rFonts w:ascii="Garamond" w:hAnsi="Garamond" w:cs="Times New Roman"/>
          <w:i/>
          <w:iCs/>
          <w:sz w:val="26"/>
          <w:szCs w:val="26"/>
        </w:rPr>
        <w:t>13</w:t>
      </w:r>
      <w:r w:rsidRPr="00657435">
        <w:rPr>
          <w:rFonts w:ascii="Garamond" w:hAnsi="Garamond" w:cs="Times New Roman"/>
          <w:sz w:val="26"/>
          <w:szCs w:val="26"/>
        </w:rPr>
        <w:t>(5), Article 5. https://doi.org/10.46328/ijemst.4671</w:t>
      </w:r>
    </w:p>
    <w:p w14:paraId="7A09D756"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Fauziah, A. N. M., Hendratmoko, A. F., Mahdiannur, M. A., Ermawan, M. Z. F., Suwandi, E., &amp; Ratri, S. Y. (2024). The Relationship Between Critical Thinking and Scientific Argumentation in Science Learning. </w:t>
      </w:r>
      <w:r w:rsidRPr="00657435">
        <w:rPr>
          <w:rFonts w:ascii="Garamond" w:hAnsi="Garamond" w:cs="Times New Roman"/>
          <w:i/>
          <w:iCs/>
          <w:sz w:val="26"/>
          <w:szCs w:val="26"/>
        </w:rPr>
        <w:t>Jurnal Pendidikan IPA Indonesia</w:t>
      </w:r>
      <w:r w:rsidRPr="00657435">
        <w:rPr>
          <w:rFonts w:ascii="Garamond" w:hAnsi="Garamond" w:cs="Times New Roman"/>
          <w:sz w:val="26"/>
          <w:szCs w:val="26"/>
        </w:rPr>
        <w:t xml:space="preserve">, </w:t>
      </w:r>
      <w:r w:rsidRPr="00657435">
        <w:rPr>
          <w:rFonts w:ascii="Garamond" w:hAnsi="Garamond" w:cs="Times New Roman"/>
          <w:i/>
          <w:iCs/>
          <w:sz w:val="26"/>
          <w:szCs w:val="26"/>
        </w:rPr>
        <w:t>3</w:t>
      </w:r>
      <w:r w:rsidRPr="00657435">
        <w:rPr>
          <w:rFonts w:ascii="Garamond" w:hAnsi="Garamond" w:cs="Times New Roman"/>
          <w:sz w:val="26"/>
          <w:szCs w:val="26"/>
        </w:rPr>
        <w:t>(2), Article 2. https://doi.org/DOI: 10.15294/</w:t>
      </w:r>
      <w:proofErr w:type="gramStart"/>
      <w:r w:rsidRPr="00657435">
        <w:rPr>
          <w:rFonts w:ascii="Garamond" w:hAnsi="Garamond" w:cs="Times New Roman"/>
          <w:sz w:val="26"/>
          <w:szCs w:val="26"/>
        </w:rPr>
        <w:t>jpii.v</w:t>
      </w:r>
      <w:proofErr w:type="gramEnd"/>
      <w:r w:rsidRPr="00657435">
        <w:rPr>
          <w:rFonts w:ascii="Garamond" w:hAnsi="Garamond" w:cs="Times New Roman"/>
          <w:sz w:val="26"/>
          <w:szCs w:val="26"/>
        </w:rPr>
        <w:t>13i2.2585</w:t>
      </w:r>
    </w:p>
    <w:p w14:paraId="6696EA23"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Gitadewi, A. J. (2024). Optimizing Digital Literacy Through Problem-Based Learning Models to Improve Student’s Critical Thinking Skills. </w:t>
      </w:r>
      <w:r w:rsidRPr="00657435">
        <w:rPr>
          <w:rFonts w:ascii="Garamond" w:hAnsi="Garamond" w:cs="Times New Roman"/>
          <w:i/>
          <w:iCs/>
          <w:sz w:val="26"/>
          <w:szCs w:val="26"/>
        </w:rPr>
        <w:t>International Journal of Current Educational Research</w:t>
      </w:r>
      <w:r w:rsidRPr="00657435">
        <w:rPr>
          <w:rFonts w:ascii="Garamond" w:hAnsi="Garamond" w:cs="Times New Roman"/>
          <w:sz w:val="26"/>
          <w:szCs w:val="26"/>
        </w:rPr>
        <w:t xml:space="preserve">, </w:t>
      </w:r>
      <w:r w:rsidRPr="00657435">
        <w:rPr>
          <w:rFonts w:ascii="Garamond" w:hAnsi="Garamond" w:cs="Times New Roman"/>
          <w:i/>
          <w:iCs/>
          <w:sz w:val="26"/>
          <w:szCs w:val="26"/>
        </w:rPr>
        <w:t>3</w:t>
      </w:r>
      <w:r w:rsidRPr="00657435">
        <w:rPr>
          <w:rFonts w:ascii="Garamond" w:hAnsi="Garamond" w:cs="Times New Roman"/>
          <w:sz w:val="26"/>
          <w:szCs w:val="26"/>
        </w:rPr>
        <w:t>(2), 110–123. https://doi.org/10.53621/ijocer.v3i2.379</w:t>
      </w:r>
    </w:p>
    <w:p w14:paraId="46A13022"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Gómez, R. L., &amp; Suárez, A. M. (2020). Do inquiry-based teaching and school climate influence science achievement and critical thinking? Evidence from PISA 2015. </w:t>
      </w:r>
      <w:r w:rsidRPr="00657435">
        <w:rPr>
          <w:rFonts w:ascii="Garamond" w:hAnsi="Garamond" w:cs="Times New Roman"/>
          <w:i/>
          <w:iCs/>
          <w:sz w:val="26"/>
          <w:szCs w:val="26"/>
        </w:rPr>
        <w:t>International Journal of STEM Education</w:t>
      </w:r>
      <w:r w:rsidRPr="00657435">
        <w:rPr>
          <w:rFonts w:ascii="Garamond" w:hAnsi="Garamond" w:cs="Times New Roman"/>
          <w:sz w:val="26"/>
          <w:szCs w:val="26"/>
        </w:rPr>
        <w:t xml:space="preserve">, </w:t>
      </w:r>
      <w:r w:rsidRPr="00657435">
        <w:rPr>
          <w:rFonts w:ascii="Garamond" w:hAnsi="Garamond" w:cs="Times New Roman"/>
          <w:i/>
          <w:iCs/>
          <w:sz w:val="26"/>
          <w:szCs w:val="26"/>
        </w:rPr>
        <w:t>7</w:t>
      </w:r>
      <w:r w:rsidRPr="00657435">
        <w:rPr>
          <w:rFonts w:ascii="Garamond" w:hAnsi="Garamond" w:cs="Times New Roman"/>
          <w:sz w:val="26"/>
          <w:szCs w:val="26"/>
        </w:rPr>
        <w:t>(1), Article 1. https://doi.org/10.1186/s40594-020-00240-5</w:t>
      </w:r>
    </w:p>
    <w:p w14:paraId="30C06603"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Hendrawan, R., Rosari, R., &amp; Nastiti, T. (2024). The basic themes of talent management: Bibliometric analysis and systematic literature review. </w:t>
      </w:r>
      <w:r w:rsidRPr="00657435">
        <w:rPr>
          <w:rFonts w:ascii="Garamond" w:hAnsi="Garamond" w:cs="Times New Roman"/>
          <w:i/>
          <w:iCs/>
          <w:sz w:val="26"/>
          <w:szCs w:val="26"/>
        </w:rPr>
        <w:t>Cogent Business &amp; Management</w:t>
      </w:r>
      <w:r w:rsidRPr="00657435">
        <w:rPr>
          <w:rFonts w:ascii="Garamond" w:hAnsi="Garamond" w:cs="Times New Roman"/>
          <w:sz w:val="26"/>
          <w:szCs w:val="26"/>
        </w:rPr>
        <w:t xml:space="preserve">, </w:t>
      </w:r>
      <w:r w:rsidRPr="00657435">
        <w:rPr>
          <w:rFonts w:ascii="Garamond" w:hAnsi="Garamond" w:cs="Times New Roman"/>
          <w:i/>
          <w:iCs/>
          <w:sz w:val="26"/>
          <w:szCs w:val="26"/>
        </w:rPr>
        <w:t>11</w:t>
      </w:r>
      <w:r w:rsidRPr="00657435">
        <w:rPr>
          <w:rFonts w:ascii="Garamond" w:hAnsi="Garamond" w:cs="Times New Roman"/>
          <w:sz w:val="26"/>
          <w:szCs w:val="26"/>
        </w:rPr>
        <w:t>(1), 2429016. https://doi.org/10.1080/23311975.2024.2429016</w:t>
      </w:r>
    </w:p>
    <w:p w14:paraId="60165CE0"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lastRenderedPageBreak/>
        <w:t xml:space="preserve">Hong, J., &amp; Kim, K. (2025). Impact of AIoT education program on digital and AI literacy of elementary school students. </w:t>
      </w:r>
      <w:r w:rsidRPr="00657435">
        <w:rPr>
          <w:rFonts w:ascii="Garamond" w:hAnsi="Garamond" w:cs="Times New Roman"/>
          <w:i/>
          <w:iCs/>
          <w:sz w:val="26"/>
          <w:szCs w:val="26"/>
        </w:rPr>
        <w:t>Education and Information Technologies</w:t>
      </w:r>
      <w:r w:rsidRPr="00657435">
        <w:rPr>
          <w:rFonts w:ascii="Garamond" w:hAnsi="Garamond" w:cs="Times New Roman"/>
          <w:sz w:val="26"/>
          <w:szCs w:val="26"/>
        </w:rPr>
        <w:t xml:space="preserve">, </w:t>
      </w:r>
      <w:r w:rsidRPr="00657435">
        <w:rPr>
          <w:rFonts w:ascii="Garamond" w:hAnsi="Garamond" w:cs="Times New Roman"/>
          <w:i/>
          <w:iCs/>
          <w:sz w:val="26"/>
          <w:szCs w:val="26"/>
        </w:rPr>
        <w:t>30</w:t>
      </w:r>
      <w:r w:rsidRPr="00657435">
        <w:rPr>
          <w:rFonts w:ascii="Garamond" w:hAnsi="Garamond" w:cs="Times New Roman"/>
          <w:sz w:val="26"/>
          <w:szCs w:val="26"/>
        </w:rPr>
        <w:t>(1), 107–130. https://doi.org/10.1007/s10639-024-12758-0</w:t>
      </w:r>
    </w:p>
    <w:p w14:paraId="54F5EAC5"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Hussein, M. H., Ow, S. H., Cheong, L. S., &amp; Thong, M.-K. (2019). A Digital Game-Based Learning Method to Improve Students’ Critical Thinking Skills in Elementary Science. </w:t>
      </w:r>
      <w:r w:rsidRPr="00657435">
        <w:rPr>
          <w:rFonts w:ascii="Garamond" w:hAnsi="Garamond" w:cs="Times New Roman"/>
          <w:i/>
          <w:iCs/>
          <w:sz w:val="26"/>
          <w:szCs w:val="26"/>
        </w:rPr>
        <w:t>IEEE Access</w:t>
      </w:r>
      <w:r w:rsidRPr="00657435">
        <w:rPr>
          <w:rFonts w:ascii="Garamond" w:hAnsi="Garamond" w:cs="Times New Roman"/>
          <w:sz w:val="26"/>
          <w:szCs w:val="26"/>
        </w:rPr>
        <w:t xml:space="preserve">, </w:t>
      </w:r>
      <w:r w:rsidRPr="00657435">
        <w:rPr>
          <w:rFonts w:ascii="Garamond" w:hAnsi="Garamond" w:cs="Times New Roman"/>
          <w:i/>
          <w:iCs/>
          <w:sz w:val="26"/>
          <w:szCs w:val="26"/>
        </w:rPr>
        <w:t>7</w:t>
      </w:r>
      <w:r w:rsidRPr="00657435">
        <w:rPr>
          <w:rFonts w:ascii="Garamond" w:hAnsi="Garamond" w:cs="Times New Roman"/>
          <w:sz w:val="26"/>
          <w:szCs w:val="26"/>
        </w:rPr>
        <w:t>, 96309–96318. https://doi.org/10.1109/ACCESS.2019.2929089</w:t>
      </w:r>
    </w:p>
    <w:p w14:paraId="1D5F48B3"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Ilhami, M., Amanah, S., Nuriyatman, E., Priyanto, P., Kumalasari, A., Kurniati, E., Hayati, S., &amp; Nusantara, D. S. (2025). The Influence of Scientific Attitude, Active Learning, and Friendly Character on Science Learning Outcomes in Junior High School Students. </w:t>
      </w:r>
      <w:r w:rsidRPr="00657435">
        <w:rPr>
          <w:rFonts w:ascii="Garamond" w:hAnsi="Garamond" w:cs="Times New Roman"/>
          <w:i/>
          <w:iCs/>
          <w:sz w:val="26"/>
          <w:szCs w:val="26"/>
        </w:rPr>
        <w:t>Jurnal Ilmiah Ilmu Terapan Universitas Jambi</w:t>
      </w:r>
      <w:r w:rsidRPr="00657435">
        <w:rPr>
          <w:rFonts w:ascii="Garamond" w:hAnsi="Garamond" w:cs="Times New Roman"/>
          <w:sz w:val="26"/>
          <w:szCs w:val="26"/>
        </w:rPr>
        <w:t xml:space="preserve">, </w:t>
      </w:r>
      <w:r w:rsidRPr="00657435">
        <w:rPr>
          <w:rFonts w:ascii="Garamond" w:hAnsi="Garamond" w:cs="Times New Roman"/>
          <w:i/>
          <w:iCs/>
          <w:sz w:val="26"/>
          <w:szCs w:val="26"/>
        </w:rPr>
        <w:t>9</w:t>
      </w:r>
      <w:r w:rsidRPr="00657435">
        <w:rPr>
          <w:rFonts w:ascii="Garamond" w:hAnsi="Garamond" w:cs="Times New Roman"/>
          <w:sz w:val="26"/>
          <w:szCs w:val="26"/>
        </w:rPr>
        <w:t xml:space="preserve">(1), Article 1. </w:t>
      </w:r>
    </w:p>
    <w:p w14:paraId="793C68E5" w14:textId="24B05FFE"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https://doi.org/10.22437/jiituj.v9i1.41809</w:t>
      </w:r>
    </w:p>
    <w:p w14:paraId="1D911786"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Islam, M. N., Sumarmi, S., Putra, A. K., Sugiyati, P., &amp; Salsabilah, S. (2021). The Effect of Interactive Blended-Problem Based Learning Assisted Virtual Classroom on Critical Thinking Skills of Students of The Society Era 5.0. </w:t>
      </w:r>
      <w:r w:rsidRPr="00657435">
        <w:rPr>
          <w:rFonts w:ascii="Garamond" w:hAnsi="Garamond" w:cs="Times New Roman"/>
          <w:i/>
          <w:iCs/>
          <w:sz w:val="26"/>
          <w:szCs w:val="26"/>
        </w:rPr>
        <w:t>Jurnal Geografi Gea</w:t>
      </w:r>
      <w:r w:rsidRPr="00657435">
        <w:rPr>
          <w:rFonts w:ascii="Garamond" w:hAnsi="Garamond" w:cs="Times New Roman"/>
          <w:sz w:val="26"/>
          <w:szCs w:val="26"/>
        </w:rPr>
        <w:t xml:space="preserve">, </w:t>
      </w:r>
      <w:r w:rsidRPr="00657435">
        <w:rPr>
          <w:rFonts w:ascii="Garamond" w:hAnsi="Garamond" w:cs="Times New Roman"/>
          <w:i/>
          <w:iCs/>
          <w:sz w:val="26"/>
          <w:szCs w:val="26"/>
        </w:rPr>
        <w:t>21</w:t>
      </w:r>
      <w:r w:rsidRPr="00657435">
        <w:rPr>
          <w:rFonts w:ascii="Garamond" w:hAnsi="Garamond" w:cs="Times New Roman"/>
          <w:sz w:val="26"/>
          <w:szCs w:val="26"/>
        </w:rPr>
        <w:t>(2), Article 2. https://doi.org/10.17509/gea.v21i2.38862</w:t>
      </w:r>
    </w:p>
    <w:p w14:paraId="62402CBF"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Jeong, O.-H. (2023). Reconsidering the Meaning of ‘Visual Literacy’ in the Age of AI: Applications to Liberal Arts Education and Possible Extensions. </w:t>
      </w:r>
      <w:r w:rsidRPr="00657435">
        <w:rPr>
          <w:rFonts w:ascii="Garamond" w:hAnsi="Garamond" w:cs="Times New Roman"/>
          <w:i/>
          <w:iCs/>
          <w:sz w:val="26"/>
          <w:szCs w:val="26"/>
        </w:rPr>
        <w:t>The Korean Association of General Education</w:t>
      </w:r>
      <w:r w:rsidRPr="00657435">
        <w:rPr>
          <w:rFonts w:ascii="Garamond" w:hAnsi="Garamond" w:cs="Times New Roman"/>
          <w:sz w:val="26"/>
          <w:szCs w:val="26"/>
        </w:rPr>
        <w:t xml:space="preserve">, </w:t>
      </w:r>
      <w:r w:rsidRPr="00657435">
        <w:rPr>
          <w:rFonts w:ascii="Garamond" w:hAnsi="Garamond" w:cs="Times New Roman"/>
          <w:i/>
          <w:iCs/>
          <w:sz w:val="26"/>
          <w:szCs w:val="26"/>
        </w:rPr>
        <w:t>17</w:t>
      </w:r>
      <w:r w:rsidRPr="00657435">
        <w:rPr>
          <w:rFonts w:ascii="Garamond" w:hAnsi="Garamond" w:cs="Times New Roman"/>
          <w:sz w:val="26"/>
          <w:szCs w:val="26"/>
        </w:rPr>
        <w:t>(6), 235–251. https://doi.org/10.46392/kjge.2023.17.6.235</w:t>
      </w:r>
    </w:p>
    <w:p w14:paraId="530176A6"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Legi, H., Damanik, D., &amp; Giban, Y. (2023). Transforming Education Through Technological Innovation </w:t>
      </w:r>
      <w:proofErr w:type="gramStart"/>
      <w:r w:rsidRPr="00657435">
        <w:rPr>
          <w:rFonts w:ascii="Garamond" w:hAnsi="Garamond" w:cs="Times New Roman"/>
          <w:sz w:val="26"/>
          <w:szCs w:val="26"/>
        </w:rPr>
        <w:t>In</w:t>
      </w:r>
      <w:proofErr w:type="gramEnd"/>
      <w:r w:rsidRPr="00657435">
        <w:rPr>
          <w:rFonts w:ascii="Garamond" w:hAnsi="Garamond" w:cs="Times New Roman"/>
          <w:sz w:val="26"/>
          <w:szCs w:val="26"/>
        </w:rPr>
        <w:t xml:space="preserve"> </w:t>
      </w:r>
      <w:proofErr w:type="gramStart"/>
      <w:r w:rsidRPr="00657435">
        <w:rPr>
          <w:rFonts w:ascii="Garamond" w:hAnsi="Garamond" w:cs="Times New Roman"/>
          <w:sz w:val="26"/>
          <w:szCs w:val="26"/>
        </w:rPr>
        <w:t>The</w:t>
      </w:r>
      <w:proofErr w:type="gramEnd"/>
      <w:r w:rsidRPr="00657435">
        <w:rPr>
          <w:rFonts w:ascii="Garamond" w:hAnsi="Garamond" w:cs="Times New Roman"/>
          <w:sz w:val="26"/>
          <w:szCs w:val="26"/>
        </w:rPr>
        <w:t xml:space="preserve"> Face </w:t>
      </w:r>
      <w:proofErr w:type="gramStart"/>
      <w:r w:rsidRPr="00657435">
        <w:rPr>
          <w:rFonts w:ascii="Garamond" w:hAnsi="Garamond" w:cs="Times New Roman"/>
          <w:sz w:val="26"/>
          <w:szCs w:val="26"/>
        </w:rPr>
        <w:t>Of</w:t>
      </w:r>
      <w:proofErr w:type="gramEnd"/>
      <w:r w:rsidRPr="00657435">
        <w:rPr>
          <w:rFonts w:ascii="Garamond" w:hAnsi="Garamond" w:cs="Times New Roman"/>
          <w:sz w:val="26"/>
          <w:szCs w:val="26"/>
        </w:rPr>
        <w:t xml:space="preserve"> </w:t>
      </w:r>
      <w:proofErr w:type="gramStart"/>
      <w:r w:rsidRPr="00657435">
        <w:rPr>
          <w:rFonts w:ascii="Garamond" w:hAnsi="Garamond" w:cs="Times New Roman"/>
          <w:sz w:val="26"/>
          <w:szCs w:val="26"/>
        </w:rPr>
        <w:t>The</w:t>
      </w:r>
      <w:proofErr w:type="gramEnd"/>
      <w:r w:rsidRPr="00657435">
        <w:rPr>
          <w:rFonts w:ascii="Garamond" w:hAnsi="Garamond" w:cs="Times New Roman"/>
          <w:sz w:val="26"/>
          <w:szCs w:val="26"/>
        </w:rPr>
        <w:t xml:space="preserve"> Era </w:t>
      </w:r>
      <w:proofErr w:type="gramStart"/>
      <w:r w:rsidRPr="00657435">
        <w:rPr>
          <w:rFonts w:ascii="Garamond" w:hAnsi="Garamond" w:cs="Times New Roman"/>
          <w:sz w:val="26"/>
          <w:szCs w:val="26"/>
        </w:rPr>
        <w:t>Of</w:t>
      </w:r>
      <w:proofErr w:type="gramEnd"/>
      <w:r w:rsidRPr="00657435">
        <w:rPr>
          <w:rFonts w:ascii="Garamond" w:hAnsi="Garamond" w:cs="Times New Roman"/>
          <w:sz w:val="26"/>
          <w:szCs w:val="26"/>
        </w:rPr>
        <w:t xml:space="preserve"> Society 5.0. </w:t>
      </w:r>
      <w:proofErr w:type="gramStart"/>
      <w:r w:rsidRPr="00657435">
        <w:rPr>
          <w:rFonts w:ascii="Garamond" w:hAnsi="Garamond" w:cs="Times New Roman"/>
          <w:i/>
          <w:iCs/>
          <w:sz w:val="26"/>
          <w:szCs w:val="26"/>
        </w:rPr>
        <w:t>Educenter</w:t>
      </w:r>
      <w:r w:rsidRPr="00657435">
        <w:rPr>
          <w:rFonts w:ascii="Times New Roman" w:hAnsi="Times New Roman" w:cs="Times New Roman"/>
          <w:i/>
          <w:iCs/>
          <w:sz w:val="26"/>
          <w:szCs w:val="26"/>
        </w:rPr>
        <w:t> </w:t>
      </w:r>
      <w:r w:rsidRPr="00657435">
        <w:rPr>
          <w:rFonts w:ascii="Garamond" w:hAnsi="Garamond" w:cs="Times New Roman"/>
          <w:i/>
          <w:iCs/>
          <w:sz w:val="26"/>
          <w:szCs w:val="26"/>
        </w:rPr>
        <w:t>:</w:t>
      </w:r>
      <w:proofErr w:type="gramEnd"/>
      <w:r w:rsidRPr="00657435">
        <w:rPr>
          <w:rFonts w:ascii="Garamond" w:hAnsi="Garamond" w:cs="Times New Roman"/>
          <w:i/>
          <w:iCs/>
          <w:sz w:val="26"/>
          <w:szCs w:val="26"/>
        </w:rPr>
        <w:t xml:space="preserve">  Jurnal Ilmiah Pendidikan</w:t>
      </w:r>
      <w:r w:rsidRPr="00657435">
        <w:rPr>
          <w:rFonts w:ascii="Garamond" w:hAnsi="Garamond" w:cs="Times New Roman"/>
          <w:sz w:val="26"/>
          <w:szCs w:val="26"/>
        </w:rPr>
        <w:t xml:space="preserve">, </w:t>
      </w:r>
      <w:r w:rsidRPr="00657435">
        <w:rPr>
          <w:rFonts w:ascii="Garamond" w:hAnsi="Garamond" w:cs="Times New Roman"/>
          <w:i/>
          <w:iCs/>
          <w:sz w:val="26"/>
          <w:szCs w:val="26"/>
        </w:rPr>
        <w:t>2</w:t>
      </w:r>
      <w:r w:rsidRPr="00657435">
        <w:rPr>
          <w:rFonts w:ascii="Garamond" w:hAnsi="Garamond" w:cs="Times New Roman"/>
          <w:sz w:val="26"/>
          <w:szCs w:val="26"/>
        </w:rPr>
        <w:t>(2), 102–108. https://doi.org/10.55904/educenter.v2i2.822</w:t>
      </w:r>
    </w:p>
    <w:p w14:paraId="741354FD"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Maheshwari, G., &amp; Kha, K. (2023). A bibliometric analysis of influence of leadership styles on employees and organization in higher education sector from 2007 to 2022. </w:t>
      </w:r>
      <w:r w:rsidRPr="00657435">
        <w:rPr>
          <w:rFonts w:ascii="Garamond" w:hAnsi="Garamond" w:cs="Times New Roman"/>
          <w:i/>
          <w:iCs/>
          <w:sz w:val="26"/>
          <w:szCs w:val="26"/>
        </w:rPr>
        <w:t>International Journal of Leadership in Education</w:t>
      </w:r>
      <w:r w:rsidRPr="00657435">
        <w:rPr>
          <w:rFonts w:ascii="Garamond" w:hAnsi="Garamond" w:cs="Times New Roman"/>
          <w:sz w:val="26"/>
          <w:szCs w:val="26"/>
        </w:rPr>
        <w:t xml:space="preserve">, 1. </w:t>
      </w:r>
    </w:p>
    <w:p w14:paraId="7A31A148" w14:textId="2C9F3DD1"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https://doi.org/10.1080/13603124.2023.2236968</w:t>
      </w:r>
    </w:p>
    <w:p w14:paraId="5D054556"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Moher, D., Liberati, A., Tetzlaff, J., &amp; Altman, D. (2009). Moher D, Liberati A, Tetzlaff J, Altman DG, Group PPreferred reporting items for systematic reviews and meta-analyses: The PRISMA statement. PLoS Med 6: E1000097. </w:t>
      </w:r>
      <w:r w:rsidRPr="00657435">
        <w:rPr>
          <w:rFonts w:ascii="Garamond" w:hAnsi="Garamond" w:cs="Times New Roman"/>
          <w:i/>
          <w:iCs/>
          <w:sz w:val="26"/>
          <w:szCs w:val="26"/>
        </w:rPr>
        <w:t xml:space="preserve">Open </w:t>
      </w:r>
      <w:proofErr w:type="gramStart"/>
      <w:r w:rsidRPr="00657435">
        <w:rPr>
          <w:rFonts w:ascii="Garamond" w:hAnsi="Garamond" w:cs="Times New Roman"/>
          <w:i/>
          <w:iCs/>
          <w:sz w:val="26"/>
          <w:szCs w:val="26"/>
        </w:rPr>
        <w:t>Medicine</w:t>
      </w:r>
      <w:r w:rsidRPr="00657435">
        <w:rPr>
          <w:rFonts w:ascii="Times New Roman" w:hAnsi="Times New Roman" w:cs="Times New Roman"/>
          <w:i/>
          <w:iCs/>
          <w:sz w:val="26"/>
          <w:szCs w:val="26"/>
        </w:rPr>
        <w:t> </w:t>
      </w:r>
      <w:r w:rsidRPr="00657435">
        <w:rPr>
          <w:rFonts w:ascii="Garamond" w:hAnsi="Garamond" w:cs="Times New Roman"/>
          <w:i/>
          <w:iCs/>
          <w:sz w:val="26"/>
          <w:szCs w:val="26"/>
        </w:rPr>
        <w:t>:</w:t>
      </w:r>
      <w:proofErr w:type="gramEnd"/>
      <w:r w:rsidRPr="00657435">
        <w:rPr>
          <w:rFonts w:ascii="Garamond" w:hAnsi="Garamond" w:cs="Times New Roman"/>
          <w:i/>
          <w:iCs/>
          <w:sz w:val="26"/>
          <w:szCs w:val="26"/>
        </w:rPr>
        <w:t xml:space="preserve"> A Peer-Reviewed, Independent, Open-Access Journal</w:t>
      </w:r>
      <w:r w:rsidRPr="00657435">
        <w:rPr>
          <w:rFonts w:ascii="Garamond" w:hAnsi="Garamond" w:cs="Times New Roman"/>
          <w:sz w:val="26"/>
          <w:szCs w:val="26"/>
        </w:rPr>
        <w:t xml:space="preserve">, </w:t>
      </w:r>
      <w:r w:rsidRPr="00657435">
        <w:rPr>
          <w:rFonts w:ascii="Garamond" w:hAnsi="Garamond" w:cs="Times New Roman"/>
          <w:i/>
          <w:iCs/>
          <w:sz w:val="26"/>
          <w:szCs w:val="26"/>
        </w:rPr>
        <w:t>3</w:t>
      </w:r>
      <w:r w:rsidRPr="00657435">
        <w:rPr>
          <w:rFonts w:ascii="Garamond" w:hAnsi="Garamond" w:cs="Times New Roman"/>
          <w:sz w:val="26"/>
          <w:szCs w:val="26"/>
        </w:rPr>
        <w:t>, e123-30. https://doi.org/10.1016/j.jclinepi.2009.06.005</w:t>
      </w:r>
    </w:p>
    <w:p w14:paraId="2E41C996"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Ninsiana, W., Septiyana, L., &amp; Suprihatin, Y. (2024). Introducing eco-literacy to early childhood students through digital learning. </w:t>
      </w:r>
      <w:r w:rsidRPr="00657435">
        <w:rPr>
          <w:rFonts w:ascii="Garamond" w:hAnsi="Garamond" w:cs="Times New Roman"/>
          <w:i/>
          <w:iCs/>
          <w:sz w:val="26"/>
          <w:szCs w:val="26"/>
        </w:rPr>
        <w:t>Journal of Education and Learning (EduLearn)</w:t>
      </w:r>
      <w:r w:rsidRPr="00657435">
        <w:rPr>
          <w:rFonts w:ascii="Garamond" w:hAnsi="Garamond" w:cs="Times New Roman"/>
          <w:sz w:val="26"/>
          <w:szCs w:val="26"/>
        </w:rPr>
        <w:t xml:space="preserve">, </w:t>
      </w:r>
      <w:r w:rsidRPr="00657435">
        <w:rPr>
          <w:rFonts w:ascii="Garamond" w:hAnsi="Garamond" w:cs="Times New Roman"/>
          <w:i/>
          <w:iCs/>
          <w:sz w:val="26"/>
          <w:szCs w:val="26"/>
        </w:rPr>
        <w:t>18</w:t>
      </w:r>
      <w:r w:rsidRPr="00657435">
        <w:rPr>
          <w:rFonts w:ascii="Garamond" w:hAnsi="Garamond" w:cs="Times New Roman"/>
          <w:sz w:val="26"/>
          <w:szCs w:val="26"/>
        </w:rPr>
        <w:t>(1), 89–96. https://doi.org/10.11591/edulearn.v18i1.20678</w:t>
      </w:r>
    </w:p>
    <w:p w14:paraId="2CDF5510"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Nisa’, R., &amp; Isroil, A. (2024). Empowering Education with Augmented Reality: Planetarium Virtual Laboratory Development Society 5.0 Era. </w:t>
      </w:r>
      <w:r w:rsidRPr="00657435">
        <w:rPr>
          <w:rFonts w:ascii="Garamond" w:hAnsi="Garamond" w:cs="Times New Roman"/>
          <w:i/>
          <w:iCs/>
          <w:sz w:val="26"/>
          <w:szCs w:val="26"/>
        </w:rPr>
        <w:t>Al-</w:t>
      </w:r>
      <w:proofErr w:type="gramStart"/>
      <w:r w:rsidRPr="00657435">
        <w:rPr>
          <w:rFonts w:ascii="Garamond" w:hAnsi="Garamond" w:cs="Times New Roman"/>
          <w:i/>
          <w:iCs/>
          <w:sz w:val="26"/>
          <w:szCs w:val="26"/>
        </w:rPr>
        <w:t>Bidayah</w:t>
      </w:r>
      <w:r w:rsidRPr="00657435">
        <w:rPr>
          <w:rFonts w:ascii="Times New Roman" w:hAnsi="Times New Roman" w:cs="Times New Roman"/>
          <w:i/>
          <w:iCs/>
          <w:sz w:val="26"/>
          <w:szCs w:val="26"/>
        </w:rPr>
        <w:t> </w:t>
      </w:r>
      <w:r w:rsidRPr="00657435">
        <w:rPr>
          <w:rFonts w:ascii="Garamond" w:hAnsi="Garamond" w:cs="Times New Roman"/>
          <w:i/>
          <w:iCs/>
          <w:sz w:val="26"/>
          <w:szCs w:val="26"/>
        </w:rPr>
        <w:t>:</w:t>
      </w:r>
      <w:proofErr w:type="gramEnd"/>
      <w:r w:rsidRPr="00657435">
        <w:rPr>
          <w:rFonts w:ascii="Garamond" w:hAnsi="Garamond" w:cs="Times New Roman"/>
          <w:i/>
          <w:iCs/>
          <w:sz w:val="26"/>
          <w:szCs w:val="26"/>
        </w:rPr>
        <w:t xml:space="preserve"> Jurnal Pendidikan Dasar Islam</w:t>
      </w:r>
      <w:r w:rsidRPr="00657435">
        <w:rPr>
          <w:rFonts w:ascii="Garamond" w:hAnsi="Garamond" w:cs="Times New Roman"/>
          <w:sz w:val="26"/>
          <w:szCs w:val="26"/>
        </w:rPr>
        <w:t xml:space="preserve">, </w:t>
      </w:r>
      <w:r w:rsidRPr="00657435">
        <w:rPr>
          <w:rFonts w:ascii="Garamond" w:hAnsi="Garamond" w:cs="Times New Roman"/>
          <w:i/>
          <w:iCs/>
          <w:sz w:val="26"/>
          <w:szCs w:val="26"/>
        </w:rPr>
        <w:t>16</w:t>
      </w:r>
      <w:r w:rsidRPr="00657435">
        <w:rPr>
          <w:rFonts w:ascii="Garamond" w:hAnsi="Garamond" w:cs="Times New Roman"/>
          <w:sz w:val="26"/>
          <w:szCs w:val="26"/>
        </w:rPr>
        <w:t>(2), 217–242. https://doi.org/10.14421/al-bidayah.v16i2.9729</w:t>
      </w:r>
    </w:p>
    <w:p w14:paraId="007BE8D1"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Olanipekun, S. O. (2024). AI as a media literacy educational tool: Developing critical technology awareness. </w:t>
      </w:r>
      <w:r w:rsidRPr="00657435">
        <w:rPr>
          <w:rFonts w:ascii="Garamond" w:hAnsi="Garamond" w:cs="Times New Roman"/>
          <w:i/>
          <w:iCs/>
          <w:sz w:val="26"/>
          <w:szCs w:val="26"/>
        </w:rPr>
        <w:t>GSC Advanced Research and Reviews</w:t>
      </w:r>
      <w:r w:rsidRPr="00657435">
        <w:rPr>
          <w:rFonts w:ascii="Garamond" w:hAnsi="Garamond" w:cs="Times New Roman"/>
          <w:sz w:val="26"/>
          <w:szCs w:val="26"/>
        </w:rPr>
        <w:t xml:space="preserve">, </w:t>
      </w:r>
      <w:r w:rsidRPr="00657435">
        <w:rPr>
          <w:rFonts w:ascii="Garamond" w:hAnsi="Garamond" w:cs="Times New Roman"/>
          <w:i/>
          <w:iCs/>
          <w:sz w:val="26"/>
          <w:szCs w:val="26"/>
        </w:rPr>
        <w:t>21</w:t>
      </w:r>
      <w:r w:rsidRPr="00657435">
        <w:rPr>
          <w:rFonts w:ascii="Garamond" w:hAnsi="Garamond" w:cs="Times New Roman"/>
          <w:sz w:val="26"/>
          <w:szCs w:val="26"/>
        </w:rPr>
        <w:t xml:space="preserve">(3), 281–292. </w:t>
      </w:r>
    </w:p>
    <w:p w14:paraId="0ECF0AED" w14:textId="3DD71CE2"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https://doi.org/10.30574/gscarr.2024.21.3.0495</w:t>
      </w:r>
    </w:p>
    <w:p w14:paraId="4B9F6AF5"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Olariu, S., Mukkamala, R., &amp; Aljohani, M. (2024). Towards Trust and Reputation as a Service in Society 5.0. </w:t>
      </w:r>
      <w:r w:rsidRPr="00657435">
        <w:rPr>
          <w:rFonts w:ascii="Garamond" w:hAnsi="Garamond" w:cs="Times New Roman"/>
          <w:i/>
          <w:iCs/>
          <w:sz w:val="26"/>
          <w:szCs w:val="26"/>
        </w:rPr>
        <w:t>Smart Cities</w:t>
      </w:r>
      <w:r w:rsidRPr="00657435">
        <w:rPr>
          <w:rFonts w:ascii="Garamond" w:hAnsi="Garamond" w:cs="Times New Roman"/>
          <w:sz w:val="26"/>
          <w:szCs w:val="26"/>
        </w:rPr>
        <w:t xml:space="preserve">, </w:t>
      </w:r>
      <w:r w:rsidRPr="00657435">
        <w:rPr>
          <w:rFonts w:ascii="Garamond" w:hAnsi="Garamond" w:cs="Times New Roman"/>
          <w:i/>
          <w:iCs/>
          <w:sz w:val="26"/>
          <w:szCs w:val="26"/>
        </w:rPr>
        <w:t>7</w:t>
      </w:r>
      <w:r w:rsidRPr="00657435">
        <w:rPr>
          <w:rFonts w:ascii="Garamond" w:hAnsi="Garamond" w:cs="Times New Roman"/>
          <w:sz w:val="26"/>
          <w:szCs w:val="26"/>
        </w:rPr>
        <w:t xml:space="preserve">(5), Article 5. </w:t>
      </w:r>
    </w:p>
    <w:p w14:paraId="37E2DDD8" w14:textId="29B97A8E"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https://doi.org/10.3390/smartcities7050103</w:t>
      </w:r>
    </w:p>
    <w:p w14:paraId="1B230668"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Orhan, A. (2023). Bibliometric Analysis of the Studies on Critical Thinking in Educational Research: An Insight from the Last Four Decades (1980-2022). </w:t>
      </w:r>
      <w:r w:rsidRPr="00657435">
        <w:rPr>
          <w:rFonts w:ascii="Garamond" w:hAnsi="Garamond" w:cs="Times New Roman"/>
          <w:i/>
          <w:iCs/>
          <w:sz w:val="26"/>
          <w:szCs w:val="26"/>
        </w:rPr>
        <w:t>International Journal of Research in Education and Science</w:t>
      </w:r>
      <w:r w:rsidRPr="00657435">
        <w:rPr>
          <w:rFonts w:ascii="Garamond" w:hAnsi="Garamond" w:cs="Times New Roman"/>
          <w:sz w:val="26"/>
          <w:szCs w:val="26"/>
        </w:rPr>
        <w:t xml:space="preserve">, </w:t>
      </w:r>
      <w:r w:rsidRPr="00657435">
        <w:rPr>
          <w:rFonts w:ascii="Garamond" w:hAnsi="Garamond" w:cs="Times New Roman"/>
          <w:i/>
          <w:iCs/>
          <w:sz w:val="26"/>
          <w:szCs w:val="26"/>
        </w:rPr>
        <w:t>9</w:t>
      </w:r>
      <w:r w:rsidRPr="00657435">
        <w:rPr>
          <w:rFonts w:ascii="Garamond" w:hAnsi="Garamond" w:cs="Times New Roman"/>
          <w:sz w:val="26"/>
          <w:szCs w:val="26"/>
        </w:rPr>
        <w:t>(2), 329–350.</w:t>
      </w:r>
    </w:p>
    <w:p w14:paraId="156586B5" w14:textId="1851F4A4"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 https://doi.org/10.46328/ijres.3128</w:t>
      </w:r>
    </w:p>
    <w:p w14:paraId="72ED7C0F"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Page, M., Mckenzie, J., Bossuyt, P., Boutron, I., Hoffmann, T., Mulrow, C., Shamseer, L., Tetzlaff, J., Akl, E., Brennan, S., Chou, R., Glanville, J., Grimshaw, J., Hróbjartsson, A., Lalu, M., Li, T., Loder, E., Mayo-Wilson, E., Mcdonald, S., &amp; Moher, D. (2021). The PRISMA 2020 statement: An updated guideline for reporting systematic reviews. </w:t>
      </w:r>
      <w:r w:rsidRPr="00657435">
        <w:rPr>
          <w:rFonts w:ascii="Garamond" w:hAnsi="Garamond" w:cs="Times New Roman"/>
          <w:i/>
          <w:iCs/>
          <w:sz w:val="26"/>
          <w:szCs w:val="26"/>
        </w:rPr>
        <w:t>BMJ</w:t>
      </w:r>
      <w:r w:rsidRPr="00657435">
        <w:rPr>
          <w:rFonts w:ascii="Garamond" w:hAnsi="Garamond" w:cs="Times New Roman"/>
          <w:sz w:val="26"/>
          <w:szCs w:val="26"/>
        </w:rPr>
        <w:t xml:space="preserve">, </w:t>
      </w:r>
      <w:r w:rsidRPr="00657435">
        <w:rPr>
          <w:rFonts w:ascii="Garamond" w:hAnsi="Garamond" w:cs="Times New Roman"/>
          <w:i/>
          <w:iCs/>
          <w:sz w:val="26"/>
          <w:szCs w:val="26"/>
        </w:rPr>
        <w:t>372</w:t>
      </w:r>
      <w:r w:rsidRPr="00657435">
        <w:rPr>
          <w:rFonts w:ascii="Garamond" w:hAnsi="Garamond" w:cs="Times New Roman"/>
          <w:sz w:val="26"/>
          <w:szCs w:val="26"/>
        </w:rPr>
        <w:t>, n71. https://doi.org/10.1136/bmj.n71</w:t>
      </w:r>
    </w:p>
    <w:p w14:paraId="1BBD2F08"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lastRenderedPageBreak/>
        <w:t xml:space="preserve">Pahrudin, A., Misbah, M., Alisia, G., Saregar, A., Asyhari, A., Anugrah, A., &amp; Susilowati, N. E. (2021). The Effectiveness of Science, Technology, Engineering, and Mathematics-Inquiry Learning for 15-16 Years Old Students Based on K-13 Indonesian Curriculum: The Impact on the Critical Thinking Skills. </w:t>
      </w:r>
      <w:r w:rsidRPr="00657435">
        <w:rPr>
          <w:rFonts w:ascii="Garamond" w:hAnsi="Garamond" w:cs="Times New Roman"/>
          <w:i/>
          <w:iCs/>
          <w:sz w:val="26"/>
          <w:szCs w:val="26"/>
        </w:rPr>
        <w:t>European Journal of Educational Research</w:t>
      </w:r>
      <w:r w:rsidRPr="00657435">
        <w:rPr>
          <w:rFonts w:ascii="Garamond" w:hAnsi="Garamond" w:cs="Times New Roman"/>
          <w:sz w:val="26"/>
          <w:szCs w:val="26"/>
        </w:rPr>
        <w:t xml:space="preserve">, </w:t>
      </w:r>
      <w:r w:rsidRPr="00657435">
        <w:rPr>
          <w:rFonts w:ascii="Garamond" w:hAnsi="Garamond" w:cs="Times New Roman"/>
          <w:i/>
          <w:iCs/>
          <w:sz w:val="26"/>
          <w:szCs w:val="26"/>
        </w:rPr>
        <w:t>volume–10–2021</w:t>
      </w:r>
      <w:r w:rsidRPr="00657435">
        <w:rPr>
          <w:rFonts w:ascii="Garamond" w:hAnsi="Garamond" w:cs="Times New Roman"/>
          <w:sz w:val="26"/>
          <w:szCs w:val="26"/>
        </w:rPr>
        <w:t>(volume–10–issue–2–april–2021), Article volume–10–issue–2–april–2021. https://doi.org/10.12973/eu-jer.10.2.681</w:t>
      </w:r>
    </w:p>
    <w:p w14:paraId="5838DBB8"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Pamorti, O. A., Winarno, W., &amp; Suryandari, K. C. (2024). Fostering Critical Thinking Skills Through Innovative Elementary School Science Learning. </w:t>
      </w:r>
      <w:r w:rsidRPr="00657435">
        <w:rPr>
          <w:rFonts w:ascii="Garamond" w:hAnsi="Garamond" w:cs="Times New Roman"/>
          <w:i/>
          <w:iCs/>
          <w:sz w:val="26"/>
          <w:szCs w:val="26"/>
        </w:rPr>
        <w:t>Social, Humanities, and Educational Studies (SHES): Conference Series</w:t>
      </w:r>
      <w:r w:rsidRPr="00657435">
        <w:rPr>
          <w:rFonts w:ascii="Garamond" w:hAnsi="Garamond" w:cs="Times New Roman"/>
          <w:sz w:val="26"/>
          <w:szCs w:val="26"/>
        </w:rPr>
        <w:t xml:space="preserve">, </w:t>
      </w:r>
      <w:r w:rsidRPr="00657435">
        <w:rPr>
          <w:rFonts w:ascii="Garamond" w:hAnsi="Garamond" w:cs="Times New Roman"/>
          <w:i/>
          <w:iCs/>
          <w:sz w:val="26"/>
          <w:szCs w:val="26"/>
        </w:rPr>
        <w:t>7</w:t>
      </w:r>
      <w:r w:rsidRPr="00657435">
        <w:rPr>
          <w:rFonts w:ascii="Garamond" w:hAnsi="Garamond" w:cs="Times New Roman"/>
          <w:sz w:val="26"/>
          <w:szCs w:val="26"/>
        </w:rPr>
        <w:t xml:space="preserve">(1), 229. </w:t>
      </w:r>
    </w:p>
    <w:p w14:paraId="43C208D1" w14:textId="31F32756"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https://doi.org/10.20961/shes.v7i1.84314</w:t>
      </w:r>
    </w:p>
    <w:p w14:paraId="05D91BA3"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Prayogi, S., Ahzan, S., Indriaturrahmi, I., &amp; Rokhmat, J. (2022). Opportunities to Stimulate the Critical Thinking Performance of Preservice Science Teachers Through the Ethno-Inquiry Model in an E Learning Platform. </w:t>
      </w:r>
      <w:r w:rsidRPr="00657435">
        <w:rPr>
          <w:rFonts w:ascii="Garamond" w:hAnsi="Garamond" w:cs="Times New Roman"/>
          <w:i/>
          <w:iCs/>
          <w:sz w:val="26"/>
          <w:szCs w:val="26"/>
        </w:rPr>
        <w:t>International Journal of Learning, Teaching and Educational Research</w:t>
      </w:r>
      <w:r w:rsidRPr="00657435">
        <w:rPr>
          <w:rFonts w:ascii="Garamond" w:hAnsi="Garamond" w:cs="Times New Roman"/>
          <w:sz w:val="26"/>
          <w:szCs w:val="26"/>
        </w:rPr>
        <w:t xml:space="preserve">, </w:t>
      </w:r>
      <w:r w:rsidRPr="00657435">
        <w:rPr>
          <w:rFonts w:ascii="Garamond" w:hAnsi="Garamond" w:cs="Times New Roman"/>
          <w:i/>
          <w:iCs/>
          <w:sz w:val="26"/>
          <w:szCs w:val="26"/>
        </w:rPr>
        <w:t>21</w:t>
      </w:r>
      <w:r w:rsidRPr="00657435">
        <w:rPr>
          <w:rFonts w:ascii="Garamond" w:hAnsi="Garamond" w:cs="Times New Roman"/>
          <w:sz w:val="26"/>
          <w:szCs w:val="26"/>
        </w:rPr>
        <w:t>(9), Article 9. https://doi.org/10.26803/ijlter.21.9.8</w:t>
      </w:r>
    </w:p>
    <w:p w14:paraId="7505EA4B"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Prayogi, S., Ahzan, S., Indriaturrahmi, Rokhmat, J., &amp; Verawati, N. N. S. P. (2023). Dynamic blend of ethnoscience and inquiry in a digital learning platform (e-learning) for empowering future science educators’ critical thinking. </w:t>
      </w:r>
      <w:r w:rsidRPr="00657435">
        <w:rPr>
          <w:rFonts w:ascii="Garamond" w:hAnsi="Garamond" w:cs="Times New Roman"/>
          <w:i/>
          <w:iCs/>
          <w:sz w:val="26"/>
          <w:szCs w:val="26"/>
        </w:rPr>
        <w:t>Journal of Education and E-Learning Research</w:t>
      </w:r>
      <w:r w:rsidRPr="00657435">
        <w:rPr>
          <w:rFonts w:ascii="Garamond" w:hAnsi="Garamond" w:cs="Times New Roman"/>
          <w:sz w:val="26"/>
          <w:szCs w:val="26"/>
        </w:rPr>
        <w:t xml:space="preserve">, </w:t>
      </w:r>
      <w:r w:rsidRPr="00657435">
        <w:rPr>
          <w:rFonts w:ascii="Garamond" w:hAnsi="Garamond" w:cs="Times New Roman"/>
          <w:i/>
          <w:iCs/>
          <w:sz w:val="26"/>
          <w:szCs w:val="26"/>
        </w:rPr>
        <w:t>10</w:t>
      </w:r>
      <w:r w:rsidRPr="00657435">
        <w:rPr>
          <w:rFonts w:ascii="Garamond" w:hAnsi="Garamond" w:cs="Times New Roman"/>
          <w:sz w:val="26"/>
          <w:szCs w:val="26"/>
        </w:rPr>
        <w:t>(4), Article 4. https://doi.org/10.20448/jeelr.v10i4.5233</w:t>
      </w:r>
    </w:p>
    <w:p w14:paraId="7EFA3448"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Puger, I. G. N., Deng, J. B., Sugiarta, M., Veliz, L., Sudatha, I. G. W., &amp; Sudarma, I. K. (2024). Metacognition-Based Learning Model: Improving Agile Innovation and Critical Thinking Skills of Students in Science Learning in Elementary Schools. </w:t>
      </w:r>
      <w:r w:rsidRPr="00657435">
        <w:rPr>
          <w:rFonts w:ascii="Garamond" w:hAnsi="Garamond" w:cs="Times New Roman"/>
          <w:i/>
          <w:iCs/>
          <w:sz w:val="26"/>
          <w:szCs w:val="26"/>
        </w:rPr>
        <w:t>Jurnal Pendidikan IPA Indonesia</w:t>
      </w:r>
      <w:r w:rsidRPr="00657435">
        <w:rPr>
          <w:rFonts w:ascii="Garamond" w:hAnsi="Garamond" w:cs="Times New Roman"/>
          <w:sz w:val="26"/>
          <w:szCs w:val="26"/>
        </w:rPr>
        <w:t xml:space="preserve">, </w:t>
      </w:r>
      <w:r w:rsidRPr="00657435">
        <w:rPr>
          <w:rFonts w:ascii="Garamond" w:hAnsi="Garamond" w:cs="Times New Roman"/>
          <w:i/>
          <w:iCs/>
          <w:sz w:val="26"/>
          <w:szCs w:val="26"/>
        </w:rPr>
        <w:t>13</w:t>
      </w:r>
      <w:r w:rsidRPr="00657435">
        <w:rPr>
          <w:rFonts w:ascii="Garamond" w:hAnsi="Garamond" w:cs="Times New Roman"/>
          <w:sz w:val="26"/>
          <w:szCs w:val="26"/>
        </w:rPr>
        <w:t>(2), Article 2.</w:t>
      </w:r>
    </w:p>
    <w:p w14:paraId="5FB4A3DE"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Pursitasari, I. D., Rubini, B., &amp; Firdaus, F. Z. (2022). Feasibility of eco-literacy-based interactive teaching material to promote critical thinking skills. </w:t>
      </w:r>
      <w:r w:rsidRPr="00657435">
        <w:rPr>
          <w:rFonts w:ascii="Garamond" w:hAnsi="Garamond" w:cs="Times New Roman"/>
          <w:i/>
          <w:iCs/>
          <w:sz w:val="26"/>
          <w:szCs w:val="26"/>
        </w:rPr>
        <w:t>Cypriot Journal of Educational Sciences</w:t>
      </w:r>
      <w:r w:rsidRPr="00657435">
        <w:rPr>
          <w:rFonts w:ascii="Garamond" w:hAnsi="Garamond" w:cs="Times New Roman"/>
          <w:sz w:val="26"/>
          <w:szCs w:val="26"/>
        </w:rPr>
        <w:t xml:space="preserve">, </w:t>
      </w:r>
      <w:r w:rsidRPr="00657435">
        <w:rPr>
          <w:rFonts w:ascii="Garamond" w:hAnsi="Garamond" w:cs="Times New Roman"/>
          <w:i/>
          <w:iCs/>
          <w:sz w:val="26"/>
          <w:szCs w:val="26"/>
        </w:rPr>
        <w:t>17</w:t>
      </w:r>
      <w:r w:rsidRPr="00657435">
        <w:rPr>
          <w:rFonts w:ascii="Garamond" w:hAnsi="Garamond" w:cs="Times New Roman"/>
          <w:sz w:val="26"/>
          <w:szCs w:val="26"/>
        </w:rPr>
        <w:t>(6), Article 6. https://doi.org/10.18844/cjes.v17i6.7505</w:t>
      </w:r>
    </w:p>
    <w:p w14:paraId="2FFF6347"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Puspita, A. D., Maryani, I., &amp; Sukma, H. H. (2023). Problem-based science learning in elementary schools: A bibliometric analysis. </w:t>
      </w:r>
      <w:r w:rsidRPr="00657435">
        <w:rPr>
          <w:rFonts w:ascii="Garamond" w:hAnsi="Garamond" w:cs="Times New Roman"/>
          <w:i/>
          <w:iCs/>
          <w:sz w:val="26"/>
          <w:szCs w:val="26"/>
        </w:rPr>
        <w:t>Journal of Education and Learning (EduLearn)</w:t>
      </w:r>
      <w:r w:rsidRPr="00657435">
        <w:rPr>
          <w:rFonts w:ascii="Garamond" w:hAnsi="Garamond" w:cs="Times New Roman"/>
          <w:sz w:val="26"/>
          <w:szCs w:val="26"/>
        </w:rPr>
        <w:t xml:space="preserve">, </w:t>
      </w:r>
      <w:r w:rsidRPr="00657435">
        <w:rPr>
          <w:rFonts w:ascii="Garamond" w:hAnsi="Garamond" w:cs="Times New Roman"/>
          <w:i/>
          <w:iCs/>
          <w:sz w:val="26"/>
          <w:szCs w:val="26"/>
        </w:rPr>
        <w:t>17</w:t>
      </w:r>
      <w:r w:rsidRPr="00657435">
        <w:rPr>
          <w:rFonts w:ascii="Garamond" w:hAnsi="Garamond" w:cs="Times New Roman"/>
          <w:sz w:val="26"/>
          <w:szCs w:val="26"/>
        </w:rPr>
        <w:t>(2), Article 2. https://doi.org/10.11591/edulearn.v17i2.20856</w:t>
      </w:r>
    </w:p>
    <w:p w14:paraId="411AA9E3"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Putra, D. A., Mustaji, Arianto, F., &amp; Asy’ari. (2022). Collaborative Learning Online Learning Model as an Effort to Improve Learning Motivation and Critical Thinking Skills at Muhammadiyah Elementary Schools of Surabaya in Society Era 5.0. </w:t>
      </w:r>
      <w:r w:rsidRPr="00657435">
        <w:rPr>
          <w:rFonts w:ascii="Garamond" w:hAnsi="Garamond" w:cs="Times New Roman"/>
          <w:i/>
          <w:iCs/>
          <w:sz w:val="26"/>
          <w:szCs w:val="26"/>
        </w:rPr>
        <w:t>International Journal of Education and Social Science Research</w:t>
      </w:r>
      <w:r w:rsidRPr="00657435">
        <w:rPr>
          <w:rFonts w:ascii="Garamond" w:hAnsi="Garamond" w:cs="Times New Roman"/>
          <w:sz w:val="26"/>
          <w:szCs w:val="26"/>
        </w:rPr>
        <w:t xml:space="preserve">, </w:t>
      </w:r>
      <w:r w:rsidRPr="00657435">
        <w:rPr>
          <w:rFonts w:ascii="Garamond" w:hAnsi="Garamond" w:cs="Times New Roman"/>
          <w:i/>
          <w:iCs/>
          <w:sz w:val="26"/>
          <w:szCs w:val="26"/>
        </w:rPr>
        <w:t>05</w:t>
      </w:r>
      <w:r w:rsidRPr="00657435">
        <w:rPr>
          <w:rFonts w:ascii="Garamond" w:hAnsi="Garamond" w:cs="Times New Roman"/>
          <w:sz w:val="26"/>
          <w:szCs w:val="26"/>
        </w:rPr>
        <w:t xml:space="preserve">(01), Article 01. </w:t>
      </w:r>
    </w:p>
    <w:p w14:paraId="73905649" w14:textId="48E62B5F"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https://doi.org/10.37500/IJESSR.2022.5126</w:t>
      </w:r>
    </w:p>
    <w:p w14:paraId="53C11944"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Rahmat, A. D., Kuswanto, H., Wilujeng, I., &amp; Pratidhina, E. (2023). Improve critical thinking skills using traditional musical instruments in science learning. </w:t>
      </w:r>
      <w:r w:rsidRPr="00657435">
        <w:rPr>
          <w:rFonts w:ascii="Garamond" w:hAnsi="Garamond" w:cs="Times New Roman"/>
          <w:i/>
          <w:iCs/>
          <w:sz w:val="26"/>
          <w:szCs w:val="26"/>
        </w:rPr>
        <w:t>International Journal of Evaluation and Research in Education (IJERE)</w:t>
      </w:r>
      <w:r w:rsidRPr="00657435">
        <w:rPr>
          <w:rFonts w:ascii="Garamond" w:hAnsi="Garamond" w:cs="Times New Roman"/>
          <w:sz w:val="26"/>
          <w:szCs w:val="26"/>
        </w:rPr>
        <w:t xml:space="preserve">, </w:t>
      </w:r>
      <w:r w:rsidRPr="00657435">
        <w:rPr>
          <w:rFonts w:ascii="Garamond" w:hAnsi="Garamond" w:cs="Times New Roman"/>
          <w:i/>
          <w:iCs/>
          <w:sz w:val="26"/>
          <w:szCs w:val="26"/>
        </w:rPr>
        <w:t>12</w:t>
      </w:r>
      <w:r w:rsidRPr="00657435">
        <w:rPr>
          <w:rFonts w:ascii="Garamond" w:hAnsi="Garamond" w:cs="Times New Roman"/>
          <w:sz w:val="26"/>
          <w:szCs w:val="26"/>
        </w:rPr>
        <w:t xml:space="preserve">(4), Article 4. </w:t>
      </w:r>
    </w:p>
    <w:p w14:paraId="034B10E8" w14:textId="36F44328"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https://doi.org/10.11591/ijere.v12i4.25753</w:t>
      </w:r>
    </w:p>
    <w:p w14:paraId="71D4346C"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Restrepo-Carmona, J. A., Zuluaga, J. C., Flórez, D. A., Gómez, M. S., Londoño, L., Gómez, G., Villamil, R. M., Morales, O., Hurtado, Á. M., Escobar, C. A., Sierra-Pérez, J., &amp; Vásquez, R. E. (2024). The Design of a Strategic Platform for the Smart Supervision of Public Expenditure for Colombia in the Context of Society 5.0. </w:t>
      </w:r>
      <w:r w:rsidRPr="00657435">
        <w:rPr>
          <w:rFonts w:ascii="Garamond" w:hAnsi="Garamond" w:cs="Times New Roman"/>
          <w:i/>
          <w:iCs/>
          <w:sz w:val="26"/>
          <w:szCs w:val="26"/>
        </w:rPr>
        <w:t>Urban Science</w:t>
      </w:r>
      <w:r w:rsidRPr="00657435">
        <w:rPr>
          <w:rFonts w:ascii="Garamond" w:hAnsi="Garamond" w:cs="Times New Roman"/>
          <w:sz w:val="26"/>
          <w:szCs w:val="26"/>
        </w:rPr>
        <w:t xml:space="preserve">, </w:t>
      </w:r>
      <w:r w:rsidRPr="00657435">
        <w:rPr>
          <w:rFonts w:ascii="Garamond" w:hAnsi="Garamond" w:cs="Times New Roman"/>
          <w:i/>
          <w:iCs/>
          <w:sz w:val="26"/>
          <w:szCs w:val="26"/>
        </w:rPr>
        <w:t>8</w:t>
      </w:r>
      <w:r w:rsidRPr="00657435">
        <w:rPr>
          <w:rFonts w:ascii="Garamond" w:hAnsi="Garamond" w:cs="Times New Roman"/>
          <w:sz w:val="26"/>
          <w:szCs w:val="26"/>
        </w:rPr>
        <w:t>(3), Article 3. https://doi.org/10.3390/urbansci8030117</w:t>
      </w:r>
    </w:p>
    <w:p w14:paraId="31B00615"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Rosana, D., Kadarisman, N., Purwanto, A., &amp; Sari, E. K. (2021). The Effect of Learning Biophysics with STEM Approach on Science Process Skills and Critical Thinking: Field Study on Application of NA-AOGS for Increasing Soybean Productivity and Growth Rate. </w:t>
      </w:r>
      <w:r w:rsidRPr="00657435">
        <w:rPr>
          <w:rFonts w:ascii="Garamond" w:hAnsi="Garamond" w:cs="Times New Roman"/>
          <w:i/>
          <w:iCs/>
          <w:sz w:val="26"/>
          <w:szCs w:val="26"/>
        </w:rPr>
        <w:t>Jurnal Pendidikan IPA Indonesia</w:t>
      </w:r>
      <w:r w:rsidRPr="00657435">
        <w:rPr>
          <w:rFonts w:ascii="Garamond" w:hAnsi="Garamond" w:cs="Times New Roman"/>
          <w:sz w:val="26"/>
          <w:szCs w:val="26"/>
        </w:rPr>
        <w:t xml:space="preserve">, </w:t>
      </w:r>
      <w:r w:rsidRPr="00657435">
        <w:rPr>
          <w:rFonts w:ascii="Garamond" w:hAnsi="Garamond" w:cs="Times New Roman"/>
          <w:i/>
          <w:iCs/>
          <w:sz w:val="26"/>
          <w:szCs w:val="26"/>
        </w:rPr>
        <w:t>10</w:t>
      </w:r>
      <w:r w:rsidRPr="00657435">
        <w:rPr>
          <w:rFonts w:ascii="Garamond" w:hAnsi="Garamond" w:cs="Times New Roman"/>
          <w:sz w:val="26"/>
          <w:szCs w:val="26"/>
        </w:rPr>
        <w:t xml:space="preserve">(3), Article 3. </w:t>
      </w:r>
    </w:p>
    <w:p w14:paraId="74EC1084" w14:textId="241E18F4"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https://doi.org/10.15294/jpii.v10i3.30695</w:t>
      </w:r>
    </w:p>
    <w:p w14:paraId="1F427D7C"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Rosidin, U., Kadaritna, N., &amp; Hasnunidah, N. (2019). Can Argument-Driven Inquiry Models Have Impact on Critical Thinking Skills for Students with Different Personality Types? </w:t>
      </w:r>
      <w:r w:rsidRPr="00657435">
        <w:rPr>
          <w:rFonts w:ascii="Garamond" w:hAnsi="Garamond" w:cs="Times New Roman"/>
          <w:i/>
          <w:iCs/>
          <w:sz w:val="26"/>
          <w:szCs w:val="26"/>
        </w:rPr>
        <w:t>Jurnal Cakrawala Pendidikan</w:t>
      </w:r>
      <w:r w:rsidRPr="00657435">
        <w:rPr>
          <w:rFonts w:ascii="Garamond" w:hAnsi="Garamond" w:cs="Times New Roman"/>
          <w:sz w:val="26"/>
          <w:szCs w:val="26"/>
        </w:rPr>
        <w:t>, 511–526. https://doi.org/10.21831/cp.v38i3.24725</w:t>
      </w:r>
    </w:p>
    <w:p w14:paraId="5A3E53B4"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lastRenderedPageBreak/>
        <w:t xml:space="preserve">Sá, M. J., &amp; Serpa, S. (2022). Higher Education as a Promoter of Soft Skills in a Sustainable Society 5.0. </w:t>
      </w:r>
      <w:r w:rsidRPr="00657435">
        <w:rPr>
          <w:rFonts w:ascii="Garamond" w:hAnsi="Garamond" w:cs="Times New Roman"/>
          <w:i/>
          <w:iCs/>
          <w:sz w:val="26"/>
          <w:szCs w:val="26"/>
        </w:rPr>
        <w:t>Journal of Curriculum and Teaching</w:t>
      </w:r>
      <w:r w:rsidRPr="00657435">
        <w:rPr>
          <w:rFonts w:ascii="Garamond" w:hAnsi="Garamond" w:cs="Times New Roman"/>
          <w:sz w:val="26"/>
          <w:szCs w:val="26"/>
        </w:rPr>
        <w:t xml:space="preserve">, </w:t>
      </w:r>
      <w:r w:rsidRPr="00657435">
        <w:rPr>
          <w:rFonts w:ascii="Garamond" w:hAnsi="Garamond" w:cs="Times New Roman"/>
          <w:i/>
          <w:iCs/>
          <w:sz w:val="26"/>
          <w:szCs w:val="26"/>
        </w:rPr>
        <w:t>11</w:t>
      </w:r>
      <w:r w:rsidRPr="00657435">
        <w:rPr>
          <w:rFonts w:ascii="Garamond" w:hAnsi="Garamond" w:cs="Times New Roman"/>
          <w:sz w:val="26"/>
          <w:szCs w:val="26"/>
        </w:rPr>
        <w:t xml:space="preserve">(4), Article 4. </w:t>
      </w:r>
    </w:p>
    <w:p w14:paraId="54D4B651" w14:textId="3CD1DDFF" w:rsidR="000675C6"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https://doi.org/10.5430/jct.v11n4p1</w:t>
      </w:r>
    </w:p>
    <w:p w14:paraId="7F632B12"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Santosa, I. S., Purwanto, E. A., Sumaryono, S., &amp; Utomo, P. P. (2025). Understanding work engagement in public administration: A comprehensive bibliometric and systematic review of the past decade. </w:t>
      </w:r>
      <w:r w:rsidRPr="00657435">
        <w:rPr>
          <w:rFonts w:ascii="Garamond" w:hAnsi="Garamond" w:cs="Times New Roman"/>
          <w:i/>
          <w:iCs/>
          <w:sz w:val="26"/>
          <w:szCs w:val="26"/>
        </w:rPr>
        <w:t>Social Sciences &amp; Humanities Open</w:t>
      </w:r>
      <w:r w:rsidRPr="00657435">
        <w:rPr>
          <w:rFonts w:ascii="Garamond" w:hAnsi="Garamond" w:cs="Times New Roman"/>
          <w:sz w:val="26"/>
          <w:szCs w:val="26"/>
        </w:rPr>
        <w:t xml:space="preserve">, </w:t>
      </w:r>
      <w:r w:rsidRPr="00657435">
        <w:rPr>
          <w:rFonts w:ascii="Garamond" w:hAnsi="Garamond" w:cs="Times New Roman"/>
          <w:i/>
          <w:iCs/>
          <w:sz w:val="26"/>
          <w:szCs w:val="26"/>
        </w:rPr>
        <w:t>11</w:t>
      </w:r>
      <w:r w:rsidRPr="00657435">
        <w:rPr>
          <w:rFonts w:ascii="Garamond" w:hAnsi="Garamond" w:cs="Times New Roman"/>
          <w:sz w:val="26"/>
          <w:szCs w:val="26"/>
        </w:rPr>
        <w:t>, 101479. https://doi.org/10.1016/j.ssaho.2025.101479</w:t>
      </w:r>
    </w:p>
    <w:p w14:paraId="1A785617"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Saputro, A. D., Atun, S., Wilujeng, I., Ariyanto, A., &amp; Arifin, S. (2020). Enhancing Pre-Service Elementary Teachers’ Self-Efficacy and Critical Thinking using Problem-Based Learning. </w:t>
      </w:r>
      <w:r w:rsidRPr="00657435">
        <w:rPr>
          <w:rFonts w:ascii="Garamond" w:hAnsi="Garamond" w:cs="Times New Roman"/>
          <w:i/>
          <w:iCs/>
          <w:sz w:val="26"/>
          <w:szCs w:val="26"/>
        </w:rPr>
        <w:t>European Journal of Educational Research</w:t>
      </w:r>
      <w:r w:rsidRPr="00657435">
        <w:rPr>
          <w:rFonts w:ascii="Garamond" w:hAnsi="Garamond" w:cs="Times New Roman"/>
          <w:sz w:val="26"/>
          <w:szCs w:val="26"/>
        </w:rPr>
        <w:t xml:space="preserve">, </w:t>
      </w:r>
      <w:r w:rsidRPr="00657435">
        <w:rPr>
          <w:rFonts w:ascii="Garamond" w:hAnsi="Garamond" w:cs="Times New Roman"/>
          <w:i/>
          <w:iCs/>
          <w:sz w:val="26"/>
          <w:szCs w:val="26"/>
        </w:rPr>
        <w:t>volume–9–2020</w:t>
      </w:r>
      <w:r w:rsidRPr="00657435">
        <w:rPr>
          <w:rFonts w:ascii="Garamond" w:hAnsi="Garamond" w:cs="Times New Roman"/>
          <w:sz w:val="26"/>
          <w:szCs w:val="26"/>
        </w:rPr>
        <w:t>(volume–9–issue–2–april–2020), Article volume–9–issue–2–april–2020. https://doi.org/10.12973/eu-jer.9.2.765</w:t>
      </w:r>
    </w:p>
    <w:p w14:paraId="158B7046"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Sarwendah, A. P., Azizah, N., &amp; Mumpuniarti, M. (2023). The use of technology in hybrid learning for student with special needs. </w:t>
      </w:r>
      <w:r w:rsidRPr="00657435">
        <w:rPr>
          <w:rFonts w:ascii="Garamond" w:hAnsi="Garamond" w:cs="Times New Roman"/>
          <w:i/>
          <w:iCs/>
          <w:sz w:val="26"/>
          <w:szCs w:val="26"/>
        </w:rPr>
        <w:t>Journal of Education and Learning (EduLearn)</w:t>
      </w:r>
      <w:r w:rsidRPr="00657435">
        <w:rPr>
          <w:rFonts w:ascii="Garamond" w:hAnsi="Garamond" w:cs="Times New Roman"/>
          <w:sz w:val="26"/>
          <w:szCs w:val="26"/>
        </w:rPr>
        <w:t xml:space="preserve">, </w:t>
      </w:r>
      <w:r w:rsidRPr="00657435">
        <w:rPr>
          <w:rFonts w:ascii="Garamond" w:hAnsi="Garamond" w:cs="Times New Roman"/>
          <w:i/>
          <w:iCs/>
          <w:sz w:val="26"/>
          <w:szCs w:val="26"/>
        </w:rPr>
        <w:t>17</w:t>
      </w:r>
      <w:r w:rsidRPr="00657435">
        <w:rPr>
          <w:rFonts w:ascii="Garamond" w:hAnsi="Garamond" w:cs="Times New Roman"/>
          <w:sz w:val="26"/>
          <w:szCs w:val="26"/>
        </w:rPr>
        <w:t>(2), 317–325. https://doi.org/10.11591/edulearn.v17i2.20810</w:t>
      </w:r>
    </w:p>
    <w:p w14:paraId="01683E36"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Sarwi, S., Marwoto, P., Susilaningsih, E., Lathif, Y. F., &amp; Winarto, W. (2024). Science learning STEM-R approach: A study of students’ reflective and critical thinking. </w:t>
      </w:r>
      <w:r w:rsidRPr="00657435">
        <w:rPr>
          <w:rFonts w:ascii="Garamond" w:hAnsi="Garamond" w:cs="Times New Roman"/>
          <w:i/>
          <w:iCs/>
          <w:sz w:val="26"/>
          <w:szCs w:val="26"/>
        </w:rPr>
        <w:t>Journal of Education and Learning (EduLearn)</w:t>
      </w:r>
      <w:r w:rsidRPr="00657435">
        <w:rPr>
          <w:rFonts w:ascii="Garamond" w:hAnsi="Garamond" w:cs="Times New Roman"/>
          <w:sz w:val="26"/>
          <w:szCs w:val="26"/>
        </w:rPr>
        <w:t xml:space="preserve">, </w:t>
      </w:r>
      <w:r w:rsidRPr="00657435">
        <w:rPr>
          <w:rFonts w:ascii="Garamond" w:hAnsi="Garamond" w:cs="Times New Roman"/>
          <w:i/>
          <w:iCs/>
          <w:sz w:val="26"/>
          <w:szCs w:val="26"/>
        </w:rPr>
        <w:t>18</w:t>
      </w:r>
      <w:r w:rsidRPr="00657435">
        <w:rPr>
          <w:rFonts w:ascii="Garamond" w:hAnsi="Garamond" w:cs="Times New Roman"/>
          <w:sz w:val="26"/>
          <w:szCs w:val="26"/>
        </w:rPr>
        <w:t xml:space="preserve">(2), Article 2. </w:t>
      </w:r>
    </w:p>
    <w:p w14:paraId="215EDE96" w14:textId="35F13418"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https://doi.org/10.11591/edulearn.v18i2.21080</w:t>
      </w:r>
    </w:p>
    <w:p w14:paraId="4F8DD9F6"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Septiadevana, R., &amp; Abdullah, N. (2024). Developing STEM project-based learning module for primary school teachers: A need analysis. </w:t>
      </w:r>
      <w:r w:rsidRPr="00657435">
        <w:rPr>
          <w:rFonts w:ascii="Garamond" w:hAnsi="Garamond" w:cs="Times New Roman"/>
          <w:i/>
          <w:iCs/>
          <w:sz w:val="26"/>
          <w:szCs w:val="26"/>
        </w:rPr>
        <w:t>International Journal of Evaluation and Research in Education (IJERE)</w:t>
      </w:r>
      <w:r w:rsidRPr="00657435">
        <w:rPr>
          <w:rFonts w:ascii="Garamond" w:hAnsi="Garamond" w:cs="Times New Roman"/>
          <w:sz w:val="26"/>
          <w:szCs w:val="26"/>
        </w:rPr>
        <w:t xml:space="preserve">, </w:t>
      </w:r>
      <w:r w:rsidRPr="00657435">
        <w:rPr>
          <w:rFonts w:ascii="Garamond" w:hAnsi="Garamond" w:cs="Times New Roman"/>
          <w:i/>
          <w:iCs/>
          <w:sz w:val="26"/>
          <w:szCs w:val="26"/>
        </w:rPr>
        <w:t>13</w:t>
      </w:r>
      <w:r w:rsidRPr="00657435">
        <w:rPr>
          <w:rFonts w:ascii="Garamond" w:hAnsi="Garamond" w:cs="Times New Roman"/>
          <w:sz w:val="26"/>
          <w:szCs w:val="26"/>
        </w:rPr>
        <w:t>(4), Article 4. https://doi.org/10.11591/ijere.v13i4.28894</w:t>
      </w:r>
    </w:p>
    <w:p w14:paraId="0FEF986C"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Sugrah, N., Suyanta, &amp; Wiyarsi, A. (2023). Promoting students’ critical thinking and scientific attitudes through socio-scientific issues-based flipped classroom. </w:t>
      </w:r>
      <w:r w:rsidRPr="00657435">
        <w:rPr>
          <w:rFonts w:ascii="Garamond" w:hAnsi="Garamond" w:cs="Times New Roman"/>
          <w:i/>
          <w:iCs/>
          <w:sz w:val="26"/>
          <w:szCs w:val="26"/>
        </w:rPr>
        <w:t>LUMAT: International Journal on Math, Science and Technology Education</w:t>
      </w:r>
      <w:r w:rsidRPr="00657435">
        <w:rPr>
          <w:rFonts w:ascii="Garamond" w:hAnsi="Garamond" w:cs="Times New Roman"/>
          <w:sz w:val="26"/>
          <w:szCs w:val="26"/>
        </w:rPr>
        <w:t xml:space="preserve">, </w:t>
      </w:r>
      <w:r w:rsidRPr="00657435">
        <w:rPr>
          <w:rFonts w:ascii="Garamond" w:hAnsi="Garamond" w:cs="Times New Roman"/>
          <w:i/>
          <w:iCs/>
          <w:sz w:val="26"/>
          <w:szCs w:val="26"/>
        </w:rPr>
        <w:t>11</w:t>
      </w:r>
      <w:r w:rsidRPr="00657435">
        <w:rPr>
          <w:rFonts w:ascii="Garamond" w:hAnsi="Garamond" w:cs="Times New Roman"/>
          <w:sz w:val="26"/>
          <w:szCs w:val="26"/>
        </w:rPr>
        <w:t>(1), Article 1. https://doi.org/10.31129/LUMAT.11.1.1856</w:t>
      </w:r>
    </w:p>
    <w:p w14:paraId="75B729D8"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Suradi, S., Prastowo, S. B., &amp; Sutomo, Moh. (2024). Development of PBL-Based Interactive LKPD to Improve Elementary Students’ Critical Thinking Skills in Science Learning. </w:t>
      </w:r>
      <w:r w:rsidRPr="00657435">
        <w:rPr>
          <w:rFonts w:ascii="Garamond" w:hAnsi="Garamond" w:cs="Times New Roman"/>
          <w:i/>
          <w:iCs/>
          <w:sz w:val="26"/>
          <w:szCs w:val="26"/>
        </w:rPr>
        <w:t>Jurnal Paedagogy</w:t>
      </w:r>
      <w:r w:rsidRPr="00657435">
        <w:rPr>
          <w:rFonts w:ascii="Garamond" w:hAnsi="Garamond" w:cs="Times New Roman"/>
          <w:sz w:val="26"/>
          <w:szCs w:val="26"/>
        </w:rPr>
        <w:t xml:space="preserve">, </w:t>
      </w:r>
      <w:r w:rsidRPr="00657435">
        <w:rPr>
          <w:rFonts w:ascii="Garamond" w:hAnsi="Garamond" w:cs="Times New Roman"/>
          <w:i/>
          <w:iCs/>
          <w:sz w:val="26"/>
          <w:szCs w:val="26"/>
        </w:rPr>
        <w:t>11</w:t>
      </w:r>
      <w:r w:rsidRPr="00657435">
        <w:rPr>
          <w:rFonts w:ascii="Garamond" w:hAnsi="Garamond" w:cs="Times New Roman"/>
          <w:sz w:val="26"/>
          <w:szCs w:val="26"/>
        </w:rPr>
        <w:t>(2), 300. https://doi.org/10.33394/jp.v11i2.10034</w:t>
      </w:r>
    </w:p>
    <w:p w14:paraId="19323392"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Suresman, E., Febrianti, F., &amp; Dallyono, R. (2023). Implementation of i-Spring Suite to improve Darul Muta’alimin students’ learning for critical thinking skills in natural science. </w:t>
      </w:r>
      <w:r w:rsidRPr="00657435">
        <w:rPr>
          <w:rFonts w:ascii="Garamond" w:hAnsi="Garamond" w:cs="Times New Roman"/>
          <w:i/>
          <w:iCs/>
          <w:sz w:val="26"/>
          <w:szCs w:val="26"/>
        </w:rPr>
        <w:t>Jurnal Cakrawala Pendidikan</w:t>
      </w:r>
      <w:r w:rsidRPr="00657435">
        <w:rPr>
          <w:rFonts w:ascii="Garamond" w:hAnsi="Garamond" w:cs="Times New Roman"/>
          <w:sz w:val="26"/>
          <w:szCs w:val="26"/>
        </w:rPr>
        <w:t xml:space="preserve">, </w:t>
      </w:r>
      <w:r w:rsidRPr="00657435">
        <w:rPr>
          <w:rFonts w:ascii="Garamond" w:hAnsi="Garamond" w:cs="Times New Roman"/>
          <w:i/>
          <w:iCs/>
          <w:sz w:val="26"/>
          <w:szCs w:val="26"/>
        </w:rPr>
        <w:t>42</w:t>
      </w:r>
      <w:r w:rsidRPr="00657435">
        <w:rPr>
          <w:rFonts w:ascii="Garamond" w:hAnsi="Garamond" w:cs="Times New Roman"/>
          <w:sz w:val="26"/>
          <w:szCs w:val="26"/>
        </w:rPr>
        <w:t xml:space="preserve">(2), Article 2. </w:t>
      </w:r>
    </w:p>
    <w:p w14:paraId="0ECD2FAB" w14:textId="2946B8F4"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https://doi.org/10.21831/cp.v42i2.53646</w:t>
      </w:r>
    </w:p>
    <w:p w14:paraId="35BCDBBD"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Suwardika, G., Sopandi, A. T., Indrawan, I. P. O., &amp; Masakazu, K. (2024). A flipped classroom with whiteboard animation and modules to enhance students’ self-regulation, critical thinking and communication skills: A conceptual framework and its implementation. </w:t>
      </w:r>
      <w:r w:rsidRPr="00657435">
        <w:rPr>
          <w:rFonts w:ascii="Garamond" w:hAnsi="Garamond" w:cs="Times New Roman"/>
          <w:i/>
          <w:iCs/>
          <w:sz w:val="26"/>
          <w:szCs w:val="26"/>
        </w:rPr>
        <w:t>Asian Association of Open Universities Journal</w:t>
      </w:r>
      <w:r w:rsidRPr="00657435">
        <w:rPr>
          <w:rFonts w:ascii="Garamond" w:hAnsi="Garamond" w:cs="Times New Roman"/>
          <w:sz w:val="26"/>
          <w:szCs w:val="26"/>
        </w:rPr>
        <w:t xml:space="preserve">, </w:t>
      </w:r>
      <w:r w:rsidRPr="00657435">
        <w:rPr>
          <w:rFonts w:ascii="Garamond" w:hAnsi="Garamond" w:cs="Times New Roman"/>
          <w:i/>
          <w:iCs/>
          <w:sz w:val="26"/>
          <w:szCs w:val="26"/>
        </w:rPr>
        <w:t>19</w:t>
      </w:r>
      <w:r w:rsidRPr="00657435">
        <w:rPr>
          <w:rFonts w:ascii="Garamond" w:hAnsi="Garamond" w:cs="Times New Roman"/>
          <w:sz w:val="26"/>
          <w:szCs w:val="26"/>
        </w:rPr>
        <w:t xml:space="preserve">(2), Article 2. </w:t>
      </w:r>
    </w:p>
    <w:p w14:paraId="708AB711" w14:textId="0684F522" w:rsidR="00657435"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https://doi.org/10.1108/AAOUJ-10-2023-0115</w:t>
      </w:r>
    </w:p>
    <w:p w14:paraId="55D83A1D"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Suwarto, D. H., Setiawan, B., &amp; Machmiyah, S. (2022). Developing Digital Literacy Practices in Yogyakarta Elementary Schools. </w:t>
      </w:r>
      <w:r w:rsidRPr="00657435">
        <w:rPr>
          <w:rFonts w:ascii="Garamond" w:hAnsi="Garamond" w:cs="Times New Roman"/>
          <w:i/>
          <w:iCs/>
          <w:sz w:val="26"/>
          <w:szCs w:val="26"/>
        </w:rPr>
        <w:t>Electronic Journal of E-Learning</w:t>
      </w:r>
      <w:r w:rsidRPr="00657435">
        <w:rPr>
          <w:rFonts w:ascii="Garamond" w:hAnsi="Garamond" w:cs="Times New Roman"/>
          <w:sz w:val="26"/>
          <w:szCs w:val="26"/>
        </w:rPr>
        <w:t xml:space="preserve">, </w:t>
      </w:r>
      <w:r w:rsidRPr="00657435">
        <w:rPr>
          <w:rFonts w:ascii="Garamond" w:hAnsi="Garamond" w:cs="Times New Roman"/>
          <w:i/>
          <w:iCs/>
          <w:sz w:val="26"/>
          <w:szCs w:val="26"/>
        </w:rPr>
        <w:t>20</w:t>
      </w:r>
      <w:r w:rsidRPr="00657435">
        <w:rPr>
          <w:rFonts w:ascii="Garamond" w:hAnsi="Garamond" w:cs="Times New Roman"/>
          <w:sz w:val="26"/>
          <w:szCs w:val="26"/>
        </w:rPr>
        <w:t>(2), pp101-111. https://doi.org/10.34190/ejel.20.2.2602</w:t>
      </w:r>
    </w:p>
    <w:p w14:paraId="4DF7C6FF"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Syahid, A. A., Hernawan, A. H., &amp; Dewi, L. (2022). Analisis Kompetensi Digital Guru Sekolah Dasar. </w:t>
      </w:r>
      <w:proofErr w:type="spellStart"/>
      <w:r w:rsidRPr="00657435">
        <w:rPr>
          <w:rFonts w:ascii="Garamond" w:hAnsi="Garamond" w:cs="Times New Roman"/>
          <w:i/>
          <w:iCs/>
          <w:sz w:val="26"/>
          <w:szCs w:val="26"/>
        </w:rPr>
        <w:t>Jurnal</w:t>
      </w:r>
      <w:proofErr w:type="spellEnd"/>
      <w:r w:rsidRPr="00657435">
        <w:rPr>
          <w:rFonts w:ascii="Garamond" w:hAnsi="Garamond" w:cs="Times New Roman"/>
          <w:i/>
          <w:iCs/>
          <w:sz w:val="26"/>
          <w:szCs w:val="26"/>
        </w:rPr>
        <w:t xml:space="preserve"> </w:t>
      </w:r>
      <w:proofErr w:type="spellStart"/>
      <w:r w:rsidRPr="00657435">
        <w:rPr>
          <w:rFonts w:ascii="Garamond" w:hAnsi="Garamond" w:cs="Times New Roman"/>
          <w:i/>
          <w:iCs/>
          <w:sz w:val="26"/>
          <w:szCs w:val="26"/>
        </w:rPr>
        <w:t>Basicedu</w:t>
      </w:r>
      <w:proofErr w:type="spellEnd"/>
      <w:r w:rsidRPr="00657435">
        <w:rPr>
          <w:rFonts w:ascii="Garamond" w:hAnsi="Garamond" w:cs="Times New Roman"/>
          <w:sz w:val="26"/>
          <w:szCs w:val="26"/>
        </w:rPr>
        <w:t xml:space="preserve">, </w:t>
      </w:r>
      <w:r w:rsidRPr="00657435">
        <w:rPr>
          <w:rFonts w:ascii="Garamond" w:hAnsi="Garamond" w:cs="Times New Roman"/>
          <w:i/>
          <w:iCs/>
          <w:sz w:val="26"/>
          <w:szCs w:val="26"/>
        </w:rPr>
        <w:t>6</w:t>
      </w:r>
      <w:r w:rsidRPr="00657435">
        <w:rPr>
          <w:rFonts w:ascii="Garamond" w:hAnsi="Garamond" w:cs="Times New Roman"/>
          <w:sz w:val="26"/>
          <w:szCs w:val="26"/>
        </w:rPr>
        <w:t>(3), 4600–4611.</w:t>
      </w:r>
    </w:p>
    <w:p w14:paraId="633A47F8" w14:textId="64E20572"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 https://doi.org/10.31004/basicedu.v6i3.2909</w:t>
      </w:r>
    </w:p>
    <w:p w14:paraId="4DE7E257"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Syawaludin, A., Gunarhadi, G., Prof., Teacher Training and Education Faculty, Universitas Sebelas Maret, Indonesia, gunarhadi@fkip.uns.ac.id, Rintayati, P., &amp; Dr., Teacher Training and Education Faculty, Universitas Sebelas Maret, Indonesia, pedukrintayati@staff.uns.ac.id. (2019). Development of Augmented Reality-Based Interactive Multimedia to Improve Critical Thinking Skills in Science Learning. </w:t>
      </w:r>
      <w:r w:rsidRPr="00657435">
        <w:rPr>
          <w:rFonts w:ascii="Garamond" w:hAnsi="Garamond" w:cs="Times New Roman"/>
          <w:i/>
          <w:iCs/>
          <w:sz w:val="26"/>
          <w:szCs w:val="26"/>
        </w:rPr>
        <w:t>International Journal of Instruction</w:t>
      </w:r>
      <w:r w:rsidRPr="00657435">
        <w:rPr>
          <w:rFonts w:ascii="Garamond" w:hAnsi="Garamond" w:cs="Times New Roman"/>
          <w:sz w:val="26"/>
          <w:szCs w:val="26"/>
        </w:rPr>
        <w:t xml:space="preserve">, </w:t>
      </w:r>
      <w:r w:rsidRPr="00657435">
        <w:rPr>
          <w:rFonts w:ascii="Garamond" w:hAnsi="Garamond" w:cs="Times New Roman"/>
          <w:i/>
          <w:iCs/>
          <w:sz w:val="26"/>
          <w:szCs w:val="26"/>
        </w:rPr>
        <w:t>12</w:t>
      </w:r>
      <w:r w:rsidRPr="00657435">
        <w:rPr>
          <w:rFonts w:ascii="Garamond" w:hAnsi="Garamond" w:cs="Times New Roman"/>
          <w:sz w:val="26"/>
          <w:szCs w:val="26"/>
        </w:rPr>
        <w:t>(4), Article 4. https://doi.org/10.29333/iji.2019.12421a</w:t>
      </w:r>
    </w:p>
    <w:p w14:paraId="53E2F700"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lastRenderedPageBreak/>
        <w:t xml:space="preserve">Utary, N., &amp; Anwar, Y. (2023). STEM-critical thinking skills of natural science students in Kurikulum Merdeka. </w:t>
      </w:r>
      <w:r w:rsidRPr="00657435">
        <w:rPr>
          <w:rFonts w:ascii="Garamond" w:hAnsi="Garamond" w:cs="Times New Roman"/>
          <w:i/>
          <w:iCs/>
          <w:sz w:val="26"/>
          <w:szCs w:val="26"/>
        </w:rPr>
        <w:t>JURNAL ATRIUM PENDIDIKAN BIOLOGI</w:t>
      </w:r>
      <w:r w:rsidRPr="00657435">
        <w:rPr>
          <w:rFonts w:ascii="Garamond" w:hAnsi="Garamond" w:cs="Times New Roman"/>
          <w:sz w:val="26"/>
          <w:szCs w:val="26"/>
        </w:rPr>
        <w:t xml:space="preserve">, </w:t>
      </w:r>
      <w:r w:rsidRPr="00657435">
        <w:rPr>
          <w:rFonts w:ascii="Garamond" w:hAnsi="Garamond" w:cs="Times New Roman"/>
          <w:i/>
          <w:iCs/>
          <w:sz w:val="26"/>
          <w:szCs w:val="26"/>
        </w:rPr>
        <w:t>8</w:t>
      </w:r>
      <w:r w:rsidRPr="00657435">
        <w:rPr>
          <w:rFonts w:ascii="Garamond" w:hAnsi="Garamond" w:cs="Times New Roman"/>
          <w:sz w:val="26"/>
          <w:szCs w:val="26"/>
        </w:rPr>
        <w:t>(2), 30. https://doi.org/10.24036/apb.v8i2.14618</w:t>
      </w:r>
    </w:p>
    <w:p w14:paraId="452A9B35"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Vieira, R. M., &amp; Tenreiro-Vieira, C. (2016). Fostering Scientific Literacy and Critical Thinking in Elementary Science Education. </w:t>
      </w:r>
      <w:r w:rsidRPr="00657435">
        <w:rPr>
          <w:rFonts w:ascii="Garamond" w:hAnsi="Garamond" w:cs="Times New Roman"/>
          <w:i/>
          <w:iCs/>
          <w:sz w:val="26"/>
          <w:szCs w:val="26"/>
        </w:rPr>
        <w:t>International Journal of Science and Mathematics Education</w:t>
      </w:r>
      <w:r w:rsidRPr="00657435">
        <w:rPr>
          <w:rFonts w:ascii="Garamond" w:hAnsi="Garamond" w:cs="Times New Roman"/>
          <w:sz w:val="26"/>
          <w:szCs w:val="26"/>
        </w:rPr>
        <w:t xml:space="preserve">, </w:t>
      </w:r>
      <w:r w:rsidRPr="00657435">
        <w:rPr>
          <w:rFonts w:ascii="Garamond" w:hAnsi="Garamond" w:cs="Times New Roman"/>
          <w:i/>
          <w:iCs/>
          <w:sz w:val="26"/>
          <w:szCs w:val="26"/>
        </w:rPr>
        <w:t>14</w:t>
      </w:r>
      <w:r w:rsidRPr="00657435">
        <w:rPr>
          <w:rFonts w:ascii="Garamond" w:hAnsi="Garamond" w:cs="Times New Roman"/>
          <w:sz w:val="26"/>
          <w:szCs w:val="26"/>
        </w:rPr>
        <w:t>(4), 659–680. https://doi.org/10.1007/s10763-014-9605-2</w:t>
      </w:r>
    </w:p>
    <w:p w14:paraId="197CD41C"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Wibowo, A. M., Utaya, S., Wahjoedi, W., Zubaidah, S., Amin, S., &amp; Prasad, R. R. (2024). Critical Thinking and Collaboration Skills on Environmental Awareness in Project-Based Science Learning. </w:t>
      </w:r>
      <w:r w:rsidRPr="00657435">
        <w:rPr>
          <w:rFonts w:ascii="Garamond" w:hAnsi="Garamond" w:cs="Times New Roman"/>
          <w:i/>
          <w:iCs/>
          <w:sz w:val="26"/>
          <w:szCs w:val="26"/>
        </w:rPr>
        <w:t>Jurnal Pendidikan IPA Indonesia</w:t>
      </w:r>
      <w:r w:rsidRPr="00657435">
        <w:rPr>
          <w:rFonts w:ascii="Garamond" w:hAnsi="Garamond" w:cs="Times New Roman"/>
          <w:sz w:val="26"/>
          <w:szCs w:val="26"/>
        </w:rPr>
        <w:t xml:space="preserve">, </w:t>
      </w:r>
      <w:r w:rsidRPr="00657435">
        <w:rPr>
          <w:rFonts w:ascii="Garamond" w:hAnsi="Garamond" w:cs="Times New Roman"/>
          <w:i/>
          <w:iCs/>
          <w:sz w:val="26"/>
          <w:szCs w:val="26"/>
        </w:rPr>
        <w:t>13</w:t>
      </w:r>
      <w:r w:rsidRPr="00657435">
        <w:rPr>
          <w:rFonts w:ascii="Garamond" w:hAnsi="Garamond" w:cs="Times New Roman"/>
          <w:sz w:val="26"/>
          <w:szCs w:val="26"/>
        </w:rPr>
        <w:t xml:space="preserve">(1), 103–115. </w:t>
      </w:r>
    </w:p>
    <w:p w14:paraId="0E9122CA" w14:textId="1C9EF72A"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https://doi.org/10.15294/jpii.v13i1.48561</w:t>
      </w:r>
    </w:p>
    <w:p w14:paraId="70F04D63"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Widyawati, A., Suyanta, Kuswanto, H., Santoso, A. K. P., &amp; Zhanbyrbaevna, T. M. (2024). The Teachings of Tamansiswa (Niteni, Nirokke, Nambahi) Based E-PBL-STEM: Is It Feasible to Improve Critical Thinking Skills and Science Verbal Representation? </w:t>
      </w:r>
      <w:r w:rsidRPr="00657435">
        <w:rPr>
          <w:rFonts w:ascii="Garamond" w:hAnsi="Garamond" w:cs="Times New Roman"/>
          <w:i/>
          <w:iCs/>
          <w:sz w:val="26"/>
          <w:szCs w:val="26"/>
        </w:rPr>
        <w:t>Revista de Gestão Social e Ambiental</w:t>
      </w:r>
      <w:r w:rsidRPr="00657435">
        <w:rPr>
          <w:rFonts w:ascii="Garamond" w:hAnsi="Garamond" w:cs="Times New Roman"/>
          <w:sz w:val="26"/>
          <w:szCs w:val="26"/>
        </w:rPr>
        <w:t xml:space="preserve">, </w:t>
      </w:r>
      <w:r w:rsidRPr="00657435">
        <w:rPr>
          <w:rFonts w:ascii="Garamond" w:hAnsi="Garamond" w:cs="Times New Roman"/>
          <w:i/>
          <w:iCs/>
          <w:sz w:val="26"/>
          <w:szCs w:val="26"/>
        </w:rPr>
        <w:t>18</w:t>
      </w:r>
      <w:r w:rsidRPr="00657435">
        <w:rPr>
          <w:rFonts w:ascii="Garamond" w:hAnsi="Garamond" w:cs="Times New Roman"/>
          <w:sz w:val="26"/>
          <w:szCs w:val="26"/>
        </w:rPr>
        <w:t>(7), e05986. https://doi.org/10.24857/rgsa.v18n7-027</w:t>
      </w:r>
    </w:p>
    <w:p w14:paraId="4DD5BD09"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Wiratman, A., Bungawati, B., &amp; Rahmadani, E. (2023). Project-Based Learning Integrated with Science, Technology, Engineering, and Mathematics (stem) to the Critical Thinking Skills of Students in Elementary School. </w:t>
      </w:r>
      <w:r w:rsidRPr="00657435">
        <w:rPr>
          <w:rFonts w:ascii="Garamond" w:hAnsi="Garamond" w:cs="Times New Roman"/>
          <w:i/>
          <w:iCs/>
          <w:sz w:val="26"/>
          <w:szCs w:val="26"/>
        </w:rPr>
        <w:t>SITTAH: Journal of Primary Education</w:t>
      </w:r>
      <w:r w:rsidRPr="00657435">
        <w:rPr>
          <w:rFonts w:ascii="Garamond" w:hAnsi="Garamond" w:cs="Times New Roman"/>
          <w:sz w:val="26"/>
          <w:szCs w:val="26"/>
        </w:rPr>
        <w:t xml:space="preserve">, </w:t>
      </w:r>
      <w:r w:rsidRPr="00657435">
        <w:rPr>
          <w:rFonts w:ascii="Garamond" w:hAnsi="Garamond" w:cs="Times New Roman"/>
          <w:i/>
          <w:iCs/>
          <w:sz w:val="26"/>
          <w:szCs w:val="26"/>
        </w:rPr>
        <w:t>4</w:t>
      </w:r>
      <w:r w:rsidRPr="00657435">
        <w:rPr>
          <w:rFonts w:ascii="Garamond" w:hAnsi="Garamond" w:cs="Times New Roman"/>
          <w:sz w:val="26"/>
          <w:szCs w:val="26"/>
        </w:rPr>
        <w:t>(2), 167–180. https://doi.org/10.30762/sittah.v4i2.1828</w:t>
      </w:r>
    </w:p>
    <w:p w14:paraId="1BC1D5AB"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Yao, X., Ma, N., Zhang, J., Wang, K., Yang, E., &amp; Faccio, M. (2024). Enhancing wisdom manufacturing as industrial metaverse for industry and society 5.0. </w:t>
      </w:r>
      <w:r w:rsidRPr="00657435">
        <w:rPr>
          <w:rFonts w:ascii="Garamond" w:hAnsi="Garamond" w:cs="Times New Roman"/>
          <w:i/>
          <w:iCs/>
          <w:sz w:val="26"/>
          <w:szCs w:val="26"/>
        </w:rPr>
        <w:t>Journal of Intelligent Manufacturing</w:t>
      </w:r>
      <w:r w:rsidRPr="00657435">
        <w:rPr>
          <w:rFonts w:ascii="Garamond" w:hAnsi="Garamond" w:cs="Times New Roman"/>
          <w:sz w:val="26"/>
          <w:szCs w:val="26"/>
        </w:rPr>
        <w:t xml:space="preserve">, </w:t>
      </w:r>
      <w:r w:rsidRPr="00657435">
        <w:rPr>
          <w:rFonts w:ascii="Garamond" w:hAnsi="Garamond" w:cs="Times New Roman"/>
          <w:i/>
          <w:iCs/>
          <w:sz w:val="26"/>
          <w:szCs w:val="26"/>
        </w:rPr>
        <w:t>35</w:t>
      </w:r>
      <w:r w:rsidRPr="00657435">
        <w:rPr>
          <w:rFonts w:ascii="Garamond" w:hAnsi="Garamond" w:cs="Times New Roman"/>
          <w:sz w:val="26"/>
          <w:szCs w:val="26"/>
        </w:rPr>
        <w:t>(1), 235–255. https://doi.org/10.1007/s10845-022-02027-7</w:t>
      </w:r>
    </w:p>
    <w:p w14:paraId="7F1F1A23"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Yassin, E. (2024). Examining the relation of open thinking, critical thinking, metacognitive skills and usage frequency of open educational resources among high school students. </w:t>
      </w:r>
      <w:r w:rsidRPr="00657435">
        <w:rPr>
          <w:rFonts w:ascii="Garamond" w:hAnsi="Garamond" w:cs="Times New Roman"/>
          <w:i/>
          <w:iCs/>
          <w:sz w:val="26"/>
          <w:szCs w:val="26"/>
        </w:rPr>
        <w:t>Thinking Skills and Creativity</w:t>
      </w:r>
      <w:r w:rsidRPr="00657435">
        <w:rPr>
          <w:rFonts w:ascii="Garamond" w:hAnsi="Garamond" w:cs="Times New Roman"/>
          <w:sz w:val="26"/>
          <w:szCs w:val="26"/>
        </w:rPr>
        <w:t xml:space="preserve">, </w:t>
      </w:r>
      <w:r w:rsidRPr="00657435">
        <w:rPr>
          <w:rFonts w:ascii="Garamond" w:hAnsi="Garamond" w:cs="Times New Roman"/>
          <w:i/>
          <w:iCs/>
          <w:sz w:val="26"/>
          <w:szCs w:val="26"/>
        </w:rPr>
        <w:t>52</w:t>
      </w:r>
      <w:r w:rsidRPr="00657435">
        <w:rPr>
          <w:rFonts w:ascii="Garamond" w:hAnsi="Garamond" w:cs="Times New Roman"/>
          <w:sz w:val="26"/>
          <w:szCs w:val="26"/>
        </w:rPr>
        <w:t xml:space="preserve">, 101506. </w:t>
      </w:r>
    </w:p>
    <w:p w14:paraId="762EBAF6" w14:textId="5A2601C7"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https://doi.org/10.1016/j.tsc.2024.101506</w:t>
      </w:r>
    </w:p>
    <w:p w14:paraId="79C77842"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Yıldırım, P., &amp; Keçeci, G. (2024). Metaverse ve Eğitim: Yeni Bir Dönem Başlıyor! </w:t>
      </w:r>
      <w:r w:rsidRPr="00657435">
        <w:rPr>
          <w:rFonts w:ascii="Garamond" w:hAnsi="Garamond" w:cs="Times New Roman"/>
          <w:i/>
          <w:iCs/>
          <w:sz w:val="26"/>
          <w:szCs w:val="26"/>
        </w:rPr>
        <w:t>Milli Eğitim Dergisi</w:t>
      </w:r>
      <w:r w:rsidRPr="00657435">
        <w:rPr>
          <w:rFonts w:ascii="Garamond" w:hAnsi="Garamond" w:cs="Times New Roman"/>
          <w:sz w:val="26"/>
          <w:szCs w:val="26"/>
        </w:rPr>
        <w:t xml:space="preserve">, </w:t>
      </w:r>
      <w:r w:rsidRPr="00657435">
        <w:rPr>
          <w:rFonts w:ascii="Garamond" w:hAnsi="Garamond" w:cs="Times New Roman"/>
          <w:i/>
          <w:iCs/>
          <w:sz w:val="26"/>
          <w:szCs w:val="26"/>
        </w:rPr>
        <w:t>53</w:t>
      </w:r>
      <w:r w:rsidRPr="00657435">
        <w:rPr>
          <w:rFonts w:ascii="Garamond" w:hAnsi="Garamond" w:cs="Times New Roman"/>
          <w:sz w:val="26"/>
          <w:szCs w:val="26"/>
        </w:rPr>
        <w:t>(243), Article 243. https://doi.org/10.37669/milliegitim.1240070</w:t>
      </w:r>
    </w:p>
    <w:p w14:paraId="745D76C8" w14:textId="77777777" w:rsidR="000675C6" w:rsidRP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Zaki, A., Mulbar, U., Husniati, A., &amp; Naufal, M. A. (2024). Integrating Local Wisdom with Project-Based Learning to Enhance 21st-Century Skills in the Society 5.0 Era. </w:t>
      </w:r>
      <w:r w:rsidRPr="00657435">
        <w:rPr>
          <w:rFonts w:ascii="Garamond" w:hAnsi="Garamond" w:cs="Times New Roman"/>
          <w:i/>
          <w:iCs/>
          <w:sz w:val="26"/>
          <w:szCs w:val="26"/>
        </w:rPr>
        <w:t>Journal of Ecohumanism</w:t>
      </w:r>
      <w:r w:rsidRPr="00657435">
        <w:rPr>
          <w:rFonts w:ascii="Garamond" w:hAnsi="Garamond" w:cs="Times New Roman"/>
          <w:sz w:val="26"/>
          <w:szCs w:val="26"/>
        </w:rPr>
        <w:t xml:space="preserve">, </w:t>
      </w:r>
      <w:r w:rsidRPr="00657435">
        <w:rPr>
          <w:rFonts w:ascii="Garamond" w:hAnsi="Garamond" w:cs="Times New Roman"/>
          <w:i/>
          <w:iCs/>
          <w:sz w:val="26"/>
          <w:szCs w:val="26"/>
        </w:rPr>
        <w:t>3</w:t>
      </w:r>
      <w:r w:rsidRPr="00657435">
        <w:rPr>
          <w:rFonts w:ascii="Garamond" w:hAnsi="Garamond" w:cs="Times New Roman"/>
          <w:sz w:val="26"/>
          <w:szCs w:val="26"/>
        </w:rPr>
        <w:t>(7), Article 7. https://doi.org/10.62754/joe.v3i7.4341</w:t>
      </w:r>
    </w:p>
    <w:p w14:paraId="51BEB7D3" w14:textId="77777777" w:rsidR="00657435" w:rsidRDefault="000675C6" w:rsidP="00657435">
      <w:pPr>
        <w:pStyle w:val="Bibliography"/>
        <w:numPr>
          <w:ilvl w:val="0"/>
          <w:numId w:val="9"/>
        </w:numPr>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 xml:space="preserve">Zuhri, R. S., Wilujeng, I., &amp; Haryanto, H. (2023). Multiple Representation Approach in Elementary School Science Learning: A Systematic Literature Review. </w:t>
      </w:r>
      <w:r w:rsidRPr="00657435">
        <w:rPr>
          <w:rFonts w:ascii="Garamond" w:hAnsi="Garamond" w:cs="Times New Roman"/>
          <w:i/>
          <w:iCs/>
          <w:sz w:val="26"/>
          <w:szCs w:val="26"/>
        </w:rPr>
        <w:t>International Journal of Learning, Teaching and Educational Research</w:t>
      </w:r>
      <w:r w:rsidRPr="00657435">
        <w:rPr>
          <w:rFonts w:ascii="Garamond" w:hAnsi="Garamond" w:cs="Times New Roman"/>
          <w:sz w:val="26"/>
          <w:szCs w:val="26"/>
        </w:rPr>
        <w:t xml:space="preserve">, </w:t>
      </w:r>
      <w:r w:rsidRPr="00657435">
        <w:rPr>
          <w:rFonts w:ascii="Garamond" w:hAnsi="Garamond" w:cs="Times New Roman"/>
          <w:i/>
          <w:iCs/>
          <w:sz w:val="26"/>
          <w:szCs w:val="26"/>
        </w:rPr>
        <w:t>22</w:t>
      </w:r>
      <w:r w:rsidRPr="00657435">
        <w:rPr>
          <w:rFonts w:ascii="Garamond" w:hAnsi="Garamond" w:cs="Times New Roman"/>
          <w:sz w:val="26"/>
          <w:szCs w:val="26"/>
        </w:rPr>
        <w:t xml:space="preserve">(3), Article 3. </w:t>
      </w:r>
    </w:p>
    <w:p w14:paraId="40A2CBC5" w14:textId="673AB1AA" w:rsidR="000675C6" w:rsidRPr="00657435" w:rsidRDefault="000675C6" w:rsidP="00657435">
      <w:pPr>
        <w:pStyle w:val="Bibliography"/>
        <w:tabs>
          <w:tab w:val="left" w:pos="142"/>
          <w:tab w:val="left" w:pos="284"/>
          <w:tab w:val="left" w:pos="426"/>
        </w:tabs>
        <w:spacing w:line="240" w:lineRule="auto"/>
        <w:ind w:left="0" w:firstLine="0"/>
        <w:jc w:val="both"/>
        <w:rPr>
          <w:rFonts w:ascii="Garamond" w:hAnsi="Garamond" w:cs="Times New Roman"/>
          <w:sz w:val="26"/>
          <w:szCs w:val="26"/>
        </w:rPr>
      </w:pPr>
      <w:r w:rsidRPr="00657435">
        <w:rPr>
          <w:rFonts w:ascii="Garamond" w:hAnsi="Garamond" w:cs="Times New Roman"/>
          <w:sz w:val="26"/>
          <w:szCs w:val="26"/>
        </w:rPr>
        <w:t>https://doi.org/10.26803/ijlter.22.3.4</w:t>
      </w:r>
    </w:p>
    <w:p w14:paraId="6B8CD5A9" w14:textId="27C153AA" w:rsidR="00851D42" w:rsidRPr="00657435" w:rsidRDefault="00851D42" w:rsidP="00657435">
      <w:pPr>
        <w:pStyle w:val="ListParagraph"/>
        <w:tabs>
          <w:tab w:val="left" w:pos="142"/>
          <w:tab w:val="left" w:pos="284"/>
          <w:tab w:val="left" w:pos="426"/>
        </w:tabs>
        <w:spacing w:after="0" w:line="240" w:lineRule="auto"/>
        <w:ind w:left="0"/>
        <w:jc w:val="both"/>
        <w:rPr>
          <w:rFonts w:ascii="Garamond" w:hAnsi="Garamond" w:cs="Times New Roman"/>
          <w:b/>
          <w:bCs/>
          <w:noProof/>
          <w:sz w:val="26"/>
          <w:szCs w:val="26"/>
        </w:rPr>
      </w:pPr>
      <w:r w:rsidRPr="00657435">
        <w:rPr>
          <w:rFonts w:ascii="Garamond" w:hAnsi="Garamond" w:cs="Times New Roman"/>
          <w:b/>
          <w:bCs/>
          <w:noProof/>
          <w:sz w:val="26"/>
          <w:szCs w:val="26"/>
        </w:rPr>
        <w:fldChar w:fldCharType="end"/>
      </w:r>
    </w:p>
    <w:sectPr w:rsidR="00851D42" w:rsidRPr="00657435" w:rsidSect="00EC067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567" w:left="1440" w:header="708" w:footer="88" w:gutter="0"/>
      <w:pgNumType w:start="1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D729F" w14:textId="77777777" w:rsidR="00537777" w:rsidRDefault="00537777" w:rsidP="00AE551D">
      <w:pPr>
        <w:spacing w:after="0" w:line="240" w:lineRule="auto"/>
      </w:pPr>
      <w:r>
        <w:separator/>
      </w:r>
    </w:p>
  </w:endnote>
  <w:endnote w:type="continuationSeparator" w:id="0">
    <w:p w14:paraId="78EC6D4A" w14:textId="77777777" w:rsidR="00537777" w:rsidRDefault="00537777" w:rsidP="00AE5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282052"/>
      <w:docPartObj>
        <w:docPartGallery w:val="Page Numbers (Bottom of Page)"/>
        <w:docPartUnique/>
      </w:docPartObj>
    </w:sdtPr>
    <w:sdtEndPr>
      <w:rPr>
        <w:noProof/>
      </w:rPr>
    </w:sdtEndPr>
    <w:sdtContent>
      <w:p w14:paraId="217760FD" w14:textId="44AFE6AE" w:rsidR="00657435" w:rsidRDefault="006574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307C9B" w14:textId="77777777" w:rsidR="00657435" w:rsidRDefault="00657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363675"/>
      <w:docPartObj>
        <w:docPartGallery w:val="Page Numbers (Bottom of Page)"/>
        <w:docPartUnique/>
      </w:docPartObj>
    </w:sdtPr>
    <w:sdtEndPr>
      <w:rPr>
        <w:noProof/>
      </w:rPr>
    </w:sdtEndPr>
    <w:sdtContent>
      <w:p w14:paraId="42B1141C" w14:textId="5BE6E912" w:rsidR="00657435" w:rsidRDefault="00657435">
        <w:pPr>
          <w:pStyle w:val="Footer"/>
        </w:pPr>
        <w:r>
          <w:fldChar w:fldCharType="begin"/>
        </w:r>
        <w:r>
          <w:instrText xml:space="preserve"> PAGE   \* MERGEFORMAT </w:instrText>
        </w:r>
        <w:r>
          <w:fldChar w:fldCharType="separate"/>
        </w:r>
        <w:r>
          <w:rPr>
            <w:noProof/>
          </w:rPr>
          <w:t>2</w:t>
        </w:r>
        <w:r>
          <w:rPr>
            <w:noProof/>
          </w:rPr>
          <w:fldChar w:fldCharType="end"/>
        </w:r>
      </w:p>
    </w:sdtContent>
  </w:sdt>
  <w:p w14:paraId="54EE988E" w14:textId="77777777" w:rsidR="00657435" w:rsidRDefault="006574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C2F39" w14:textId="77777777" w:rsidR="00EC0673" w:rsidRDefault="00EC0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41CDE" w14:textId="77777777" w:rsidR="00537777" w:rsidRDefault="00537777" w:rsidP="00AE551D">
      <w:pPr>
        <w:spacing w:after="0" w:line="240" w:lineRule="auto"/>
      </w:pPr>
      <w:r>
        <w:separator/>
      </w:r>
    </w:p>
  </w:footnote>
  <w:footnote w:type="continuationSeparator" w:id="0">
    <w:p w14:paraId="40123525" w14:textId="77777777" w:rsidR="00537777" w:rsidRDefault="00537777" w:rsidP="00AE5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750EA" w14:textId="77777777" w:rsidR="00657435" w:rsidRPr="00640601" w:rsidRDefault="00657435" w:rsidP="00657435">
    <w:pPr>
      <w:pStyle w:val="Header"/>
      <w:jc w:val="both"/>
    </w:pPr>
    <w:r>
      <w:rPr>
        <w:noProof/>
      </w:rPr>
      <mc:AlternateContent>
        <mc:Choice Requires="wps">
          <w:drawing>
            <wp:anchor distT="0" distB="0" distL="0" distR="0" simplePos="0" relativeHeight="251663360" behindDoc="1" locked="0" layoutInCell="1" allowOverlap="1" wp14:anchorId="5A09FBD8" wp14:editId="4C0F7FA9">
              <wp:simplePos x="0" y="0"/>
              <wp:positionH relativeFrom="page">
                <wp:posOffset>906780</wp:posOffset>
              </wp:positionH>
              <wp:positionV relativeFrom="page">
                <wp:posOffset>441960</wp:posOffset>
              </wp:positionV>
              <wp:extent cx="5966460" cy="374015"/>
              <wp:effectExtent l="0" t="0" r="0" b="0"/>
              <wp:wrapNone/>
              <wp:docPr id="19885297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374015"/>
                      </a:xfrm>
                      <a:prstGeom prst="rect">
                        <a:avLst/>
                      </a:prstGeom>
                    </wps:spPr>
                    <wps:txbx>
                      <w:txbxContent>
                        <w:p w14:paraId="5C0026F4" w14:textId="77777777" w:rsidR="00657435" w:rsidRDefault="00657435" w:rsidP="00657435">
                          <w:pPr>
                            <w:spacing w:before="20"/>
                            <w:ind w:left="20"/>
                            <w:rPr>
                              <w:sz w:val="26"/>
                            </w:rPr>
                          </w:pPr>
                          <w:r>
                            <w:rPr>
                              <w:spacing w:val="-6"/>
                              <w:sz w:val="26"/>
                            </w:rPr>
                            <w:t>Cultura.</w:t>
                          </w:r>
                          <w:r>
                            <w:rPr>
                              <w:spacing w:val="-12"/>
                              <w:sz w:val="26"/>
                            </w:rPr>
                            <w:t xml:space="preserve"> </w:t>
                          </w:r>
                          <w:r>
                            <w:rPr>
                              <w:spacing w:val="-6"/>
                              <w:sz w:val="26"/>
                            </w:rPr>
                            <w:t>International</w:t>
                          </w:r>
                          <w:r>
                            <w:rPr>
                              <w:spacing w:val="-10"/>
                              <w:sz w:val="26"/>
                            </w:rPr>
                            <w:t xml:space="preserve"> </w:t>
                          </w:r>
                          <w:r>
                            <w:rPr>
                              <w:spacing w:val="-6"/>
                              <w:sz w:val="26"/>
                            </w:rPr>
                            <w:t>Journal</w:t>
                          </w:r>
                          <w:r>
                            <w:rPr>
                              <w:spacing w:val="-9"/>
                              <w:sz w:val="26"/>
                            </w:rPr>
                            <w:t xml:space="preserve"> </w:t>
                          </w:r>
                          <w:r>
                            <w:rPr>
                              <w:spacing w:val="-6"/>
                              <w:sz w:val="26"/>
                            </w:rPr>
                            <w:t>of</w:t>
                          </w:r>
                          <w:r>
                            <w:rPr>
                              <w:spacing w:val="-11"/>
                              <w:sz w:val="26"/>
                            </w:rPr>
                            <w:t xml:space="preserve"> </w:t>
                          </w:r>
                          <w:r>
                            <w:rPr>
                              <w:spacing w:val="-6"/>
                              <w:sz w:val="26"/>
                            </w:rPr>
                            <w:t>Philosophy</w:t>
                          </w:r>
                          <w:r>
                            <w:rPr>
                              <w:spacing w:val="-11"/>
                              <w:sz w:val="26"/>
                            </w:rPr>
                            <w:t xml:space="preserve"> </w:t>
                          </w:r>
                          <w:r>
                            <w:rPr>
                              <w:spacing w:val="-6"/>
                              <w:sz w:val="26"/>
                            </w:rPr>
                            <w:t>of</w:t>
                          </w:r>
                          <w:r>
                            <w:rPr>
                              <w:spacing w:val="-12"/>
                              <w:sz w:val="26"/>
                            </w:rPr>
                            <w:t xml:space="preserve"> </w:t>
                          </w:r>
                          <w:r>
                            <w:rPr>
                              <w:spacing w:val="-6"/>
                              <w:sz w:val="26"/>
                            </w:rPr>
                            <w:t>Culture</w:t>
                          </w:r>
                          <w:r>
                            <w:rPr>
                              <w:spacing w:val="-10"/>
                              <w:sz w:val="26"/>
                            </w:rPr>
                            <w:t xml:space="preserve"> </w:t>
                          </w:r>
                          <w:r>
                            <w:rPr>
                              <w:spacing w:val="-6"/>
                              <w:sz w:val="26"/>
                            </w:rPr>
                            <w:t>and</w:t>
                          </w:r>
                          <w:r>
                            <w:rPr>
                              <w:spacing w:val="-10"/>
                              <w:sz w:val="26"/>
                            </w:rPr>
                            <w:t xml:space="preserve"> </w:t>
                          </w:r>
                          <w:r>
                            <w:rPr>
                              <w:spacing w:val="-6"/>
                              <w:sz w:val="26"/>
                            </w:rPr>
                            <w:t>Axiology</w:t>
                          </w:r>
                          <w:r>
                            <w:rPr>
                              <w:spacing w:val="-11"/>
                              <w:sz w:val="26"/>
                            </w:rPr>
                            <w:t xml:space="preserve">      </w:t>
                          </w:r>
                          <w:r>
                            <w:rPr>
                              <w:spacing w:val="-6"/>
                              <w:sz w:val="26"/>
                            </w:rPr>
                            <w:t>23(3s)/2026</w:t>
                          </w:r>
                        </w:p>
                      </w:txbxContent>
                    </wps:txbx>
                    <wps:bodyPr vertOverflow="clip" horz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09FBD8" id="_x0000_t202" coordsize="21600,21600" o:spt="202" path="m,l,21600r21600,l21600,xe">
              <v:stroke joinstyle="miter"/>
              <v:path gradientshapeok="t" o:connecttype="rect"/>
            </v:shapetype>
            <v:shape id="Text Box 7" o:spid="_x0000_s1026" type="#_x0000_t202" style="position:absolute;left:0;text-align:left;margin-left:71.4pt;margin-top:34.8pt;width:469.8pt;height:29.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" filled="f" stroked="f">
              <v:textbox inset="0,0,0,0">
                <w:txbxContent>
                  <w:p w14:paraId="5C0026F4" w14:textId="77777777" w:rsidR="00657435" w:rsidRDefault="00657435" w:rsidP="00657435">
                    <w:pPr>
                      <w:spacing w:before="20"/>
                      <w:ind w:left="20"/>
                      <w:rPr>
                        <w:sz w:val="26"/>
                      </w:rPr>
                    </w:pPr>
                    <w:r>
                      <w:rPr>
                        <w:spacing w:val="-6"/>
                        <w:sz w:val="26"/>
                      </w:rPr>
                      <w:t>Cultura.</w:t>
                    </w:r>
                    <w:r>
                      <w:rPr>
                        <w:spacing w:val="-12"/>
                        <w:sz w:val="26"/>
                      </w:rPr>
                      <w:t xml:space="preserve"> </w:t>
                    </w:r>
                    <w:r>
                      <w:rPr>
                        <w:spacing w:val="-6"/>
                        <w:sz w:val="26"/>
                      </w:rPr>
                      <w:t>International</w:t>
                    </w:r>
                    <w:r>
                      <w:rPr>
                        <w:spacing w:val="-10"/>
                        <w:sz w:val="26"/>
                      </w:rPr>
                      <w:t xml:space="preserve"> </w:t>
                    </w:r>
                    <w:r>
                      <w:rPr>
                        <w:spacing w:val="-6"/>
                        <w:sz w:val="26"/>
                      </w:rPr>
                      <w:t>Journal</w:t>
                    </w:r>
                    <w:r>
                      <w:rPr>
                        <w:spacing w:val="-9"/>
                        <w:sz w:val="26"/>
                      </w:rPr>
                      <w:t xml:space="preserve"> </w:t>
                    </w:r>
                    <w:r>
                      <w:rPr>
                        <w:spacing w:val="-6"/>
                        <w:sz w:val="26"/>
                      </w:rPr>
                      <w:t>of</w:t>
                    </w:r>
                    <w:r>
                      <w:rPr>
                        <w:spacing w:val="-11"/>
                        <w:sz w:val="26"/>
                      </w:rPr>
                      <w:t xml:space="preserve"> </w:t>
                    </w:r>
                    <w:r>
                      <w:rPr>
                        <w:spacing w:val="-6"/>
                        <w:sz w:val="26"/>
                      </w:rPr>
                      <w:t>Philosophy</w:t>
                    </w:r>
                    <w:r>
                      <w:rPr>
                        <w:spacing w:val="-11"/>
                        <w:sz w:val="26"/>
                      </w:rPr>
                      <w:t xml:space="preserve"> </w:t>
                    </w:r>
                    <w:r>
                      <w:rPr>
                        <w:spacing w:val="-6"/>
                        <w:sz w:val="26"/>
                      </w:rPr>
                      <w:t>of</w:t>
                    </w:r>
                    <w:r>
                      <w:rPr>
                        <w:spacing w:val="-12"/>
                        <w:sz w:val="26"/>
                      </w:rPr>
                      <w:t xml:space="preserve"> </w:t>
                    </w:r>
                    <w:r>
                      <w:rPr>
                        <w:spacing w:val="-6"/>
                        <w:sz w:val="26"/>
                      </w:rPr>
                      <w:t>Culture</w:t>
                    </w:r>
                    <w:r>
                      <w:rPr>
                        <w:spacing w:val="-10"/>
                        <w:sz w:val="26"/>
                      </w:rPr>
                      <w:t xml:space="preserve"> </w:t>
                    </w:r>
                    <w:r>
                      <w:rPr>
                        <w:spacing w:val="-6"/>
                        <w:sz w:val="26"/>
                      </w:rPr>
                      <w:t>and</w:t>
                    </w:r>
                    <w:r>
                      <w:rPr>
                        <w:spacing w:val="-10"/>
                        <w:sz w:val="26"/>
                      </w:rPr>
                      <w:t xml:space="preserve"> </w:t>
                    </w:r>
                    <w:r>
                      <w:rPr>
                        <w:spacing w:val="-6"/>
                        <w:sz w:val="26"/>
                      </w:rPr>
                      <w:t>Axiology</w:t>
                    </w:r>
                    <w:r>
                      <w:rPr>
                        <w:spacing w:val="-11"/>
                        <w:sz w:val="26"/>
                      </w:rPr>
                      <w:t xml:space="preserve">      </w:t>
                    </w:r>
                    <w:r>
                      <w:rPr>
                        <w:spacing w:val="-6"/>
                        <w:sz w:val="26"/>
                      </w:rPr>
                      <w:t>23(3s)/2026</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09A14958" wp14:editId="0B876B5F">
              <wp:simplePos x="0" y="0"/>
              <wp:positionH relativeFrom="page">
                <wp:posOffset>1032510</wp:posOffset>
              </wp:positionH>
              <wp:positionV relativeFrom="page">
                <wp:posOffset>655320</wp:posOffset>
              </wp:positionV>
              <wp:extent cx="5495925" cy="6350"/>
              <wp:effectExtent l="0" t="0" r="0" b="0"/>
              <wp:wrapNone/>
              <wp:docPr id="332840054"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6350"/>
                      </a:xfrm>
                      <a:custGeom>
                        <a:avLst/>
                        <a:gdLst/>
                        <a:ahLst/>
                        <a:cxnLst/>
                        <a:rect l="l" t="t" r="r" b="b"/>
                        <a:pathLst>
                          <a:path w="5495925" h="6350">
                            <a:moveTo>
                              <a:pt x="5495544" y="0"/>
                            </a:moveTo>
                            <a:lnTo>
                              <a:pt x="0" y="0"/>
                            </a:lnTo>
                            <a:lnTo>
                              <a:pt x="0" y="6096"/>
                            </a:lnTo>
                            <a:lnTo>
                              <a:pt x="5495544" y="6096"/>
                            </a:lnTo>
                            <a:lnTo>
                              <a:pt x="549554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818465" id="Freeform: Shape 5" o:spid="_x0000_s1026" style="position:absolute;margin-left:81.3pt;margin-top:51.6pt;width:432.75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4959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" path="m5495544,l,,,6096r5495544,l5495544,xe" fillcolor="black" stroked="f">
              <v:path arrowok="t"/>
              <w10:wrap anchorx="page" anchory="page"/>
            </v:shape>
          </w:pict>
        </mc:Fallback>
      </mc:AlternateContent>
    </w:r>
  </w:p>
  <w:p w14:paraId="02516F1F" w14:textId="77777777" w:rsidR="00657435" w:rsidRDefault="006574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78C4" w14:textId="77777777" w:rsidR="00657435" w:rsidRPr="00640601" w:rsidRDefault="00657435" w:rsidP="00657435">
    <w:pPr>
      <w:pStyle w:val="Header"/>
      <w:jc w:val="both"/>
    </w:pPr>
    <w:r>
      <w:rPr>
        <w:noProof/>
      </w:rPr>
      <mc:AlternateContent>
        <mc:Choice Requires="wps">
          <w:drawing>
            <wp:anchor distT="0" distB="0" distL="0" distR="0" simplePos="0" relativeHeight="251660288" behindDoc="1" locked="0" layoutInCell="1" allowOverlap="1" wp14:anchorId="1F749D93" wp14:editId="57CDCD9E">
              <wp:simplePos x="0" y="0"/>
              <wp:positionH relativeFrom="page">
                <wp:posOffset>906780</wp:posOffset>
              </wp:positionH>
              <wp:positionV relativeFrom="page">
                <wp:posOffset>441960</wp:posOffset>
              </wp:positionV>
              <wp:extent cx="5966460" cy="374015"/>
              <wp:effectExtent l="0" t="0" r="0" b="0"/>
              <wp:wrapNone/>
              <wp:docPr id="1375505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374015"/>
                      </a:xfrm>
                      <a:prstGeom prst="rect">
                        <a:avLst/>
                      </a:prstGeom>
                    </wps:spPr>
                    <wps:txbx>
                      <w:txbxContent>
                        <w:p w14:paraId="2B191736" w14:textId="77777777" w:rsidR="00657435" w:rsidRDefault="00657435" w:rsidP="00657435">
                          <w:pPr>
                            <w:spacing w:before="20"/>
                            <w:ind w:left="20"/>
                            <w:rPr>
                              <w:sz w:val="26"/>
                            </w:rPr>
                          </w:pPr>
                          <w:r>
                            <w:rPr>
                              <w:spacing w:val="-6"/>
                              <w:sz w:val="26"/>
                            </w:rPr>
                            <w:t>Cultura.</w:t>
                          </w:r>
                          <w:r>
                            <w:rPr>
                              <w:spacing w:val="-12"/>
                              <w:sz w:val="26"/>
                            </w:rPr>
                            <w:t xml:space="preserve"> </w:t>
                          </w:r>
                          <w:r>
                            <w:rPr>
                              <w:spacing w:val="-6"/>
                              <w:sz w:val="26"/>
                            </w:rPr>
                            <w:t>International</w:t>
                          </w:r>
                          <w:r>
                            <w:rPr>
                              <w:spacing w:val="-10"/>
                              <w:sz w:val="26"/>
                            </w:rPr>
                            <w:t xml:space="preserve"> </w:t>
                          </w:r>
                          <w:r>
                            <w:rPr>
                              <w:spacing w:val="-6"/>
                              <w:sz w:val="26"/>
                            </w:rPr>
                            <w:t>Journal</w:t>
                          </w:r>
                          <w:r>
                            <w:rPr>
                              <w:spacing w:val="-9"/>
                              <w:sz w:val="26"/>
                            </w:rPr>
                            <w:t xml:space="preserve"> </w:t>
                          </w:r>
                          <w:r>
                            <w:rPr>
                              <w:spacing w:val="-6"/>
                              <w:sz w:val="26"/>
                            </w:rPr>
                            <w:t>of</w:t>
                          </w:r>
                          <w:r>
                            <w:rPr>
                              <w:spacing w:val="-11"/>
                              <w:sz w:val="26"/>
                            </w:rPr>
                            <w:t xml:space="preserve"> </w:t>
                          </w:r>
                          <w:r>
                            <w:rPr>
                              <w:spacing w:val="-6"/>
                              <w:sz w:val="26"/>
                            </w:rPr>
                            <w:t>Philosophy</w:t>
                          </w:r>
                          <w:r>
                            <w:rPr>
                              <w:spacing w:val="-11"/>
                              <w:sz w:val="26"/>
                            </w:rPr>
                            <w:t xml:space="preserve"> </w:t>
                          </w:r>
                          <w:r>
                            <w:rPr>
                              <w:spacing w:val="-6"/>
                              <w:sz w:val="26"/>
                            </w:rPr>
                            <w:t>of</w:t>
                          </w:r>
                          <w:r>
                            <w:rPr>
                              <w:spacing w:val="-12"/>
                              <w:sz w:val="26"/>
                            </w:rPr>
                            <w:t xml:space="preserve"> </w:t>
                          </w:r>
                          <w:r>
                            <w:rPr>
                              <w:spacing w:val="-6"/>
                              <w:sz w:val="26"/>
                            </w:rPr>
                            <w:t>Culture</w:t>
                          </w:r>
                          <w:r>
                            <w:rPr>
                              <w:spacing w:val="-10"/>
                              <w:sz w:val="26"/>
                            </w:rPr>
                            <w:t xml:space="preserve"> </w:t>
                          </w:r>
                          <w:r>
                            <w:rPr>
                              <w:spacing w:val="-6"/>
                              <w:sz w:val="26"/>
                            </w:rPr>
                            <w:t>and</w:t>
                          </w:r>
                          <w:r>
                            <w:rPr>
                              <w:spacing w:val="-10"/>
                              <w:sz w:val="26"/>
                            </w:rPr>
                            <w:t xml:space="preserve"> </w:t>
                          </w:r>
                          <w:r>
                            <w:rPr>
                              <w:spacing w:val="-6"/>
                              <w:sz w:val="26"/>
                            </w:rPr>
                            <w:t>Axiology</w:t>
                          </w:r>
                          <w:r>
                            <w:rPr>
                              <w:spacing w:val="-11"/>
                              <w:sz w:val="26"/>
                            </w:rPr>
                            <w:t xml:space="preserve">      </w:t>
                          </w:r>
                          <w:r>
                            <w:rPr>
                              <w:spacing w:val="-6"/>
                              <w:sz w:val="26"/>
                            </w:rPr>
                            <w:t>23(3s)/2026</w:t>
                          </w:r>
                        </w:p>
                      </w:txbxContent>
                    </wps:txbx>
                    <wps:bodyPr vertOverflow="clip" horz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F749D93" id="_x0000_t202" coordsize="21600,21600" o:spt="202" path="m,l,21600r21600,l21600,xe">
              <v:stroke joinstyle="miter"/>
              <v:path gradientshapeok="t" o:connecttype="rect"/>
            </v:shapetype>
            <v:shape id="_x0000_s1027" type="#_x0000_t202" style="position:absolute;left:0;text-align:left;margin-left:71.4pt;margin-top:34.8pt;width:469.8pt;height:29.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" filled="f" stroked="f">
              <v:textbox inset="0,0,0,0">
                <w:txbxContent>
                  <w:p w14:paraId="2B191736" w14:textId="77777777" w:rsidR="00657435" w:rsidRDefault="00657435" w:rsidP="00657435">
                    <w:pPr>
                      <w:spacing w:before="20"/>
                      <w:ind w:left="20"/>
                      <w:rPr>
                        <w:sz w:val="26"/>
                      </w:rPr>
                    </w:pPr>
                    <w:r>
                      <w:rPr>
                        <w:spacing w:val="-6"/>
                        <w:sz w:val="26"/>
                      </w:rPr>
                      <w:t>Cultura.</w:t>
                    </w:r>
                    <w:r>
                      <w:rPr>
                        <w:spacing w:val="-12"/>
                        <w:sz w:val="26"/>
                      </w:rPr>
                      <w:t xml:space="preserve"> </w:t>
                    </w:r>
                    <w:r>
                      <w:rPr>
                        <w:spacing w:val="-6"/>
                        <w:sz w:val="26"/>
                      </w:rPr>
                      <w:t>International</w:t>
                    </w:r>
                    <w:r>
                      <w:rPr>
                        <w:spacing w:val="-10"/>
                        <w:sz w:val="26"/>
                      </w:rPr>
                      <w:t xml:space="preserve"> </w:t>
                    </w:r>
                    <w:r>
                      <w:rPr>
                        <w:spacing w:val="-6"/>
                        <w:sz w:val="26"/>
                      </w:rPr>
                      <w:t>Journal</w:t>
                    </w:r>
                    <w:r>
                      <w:rPr>
                        <w:spacing w:val="-9"/>
                        <w:sz w:val="26"/>
                      </w:rPr>
                      <w:t xml:space="preserve"> </w:t>
                    </w:r>
                    <w:r>
                      <w:rPr>
                        <w:spacing w:val="-6"/>
                        <w:sz w:val="26"/>
                      </w:rPr>
                      <w:t>of</w:t>
                    </w:r>
                    <w:r>
                      <w:rPr>
                        <w:spacing w:val="-11"/>
                        <w:sz w:val="26"/>
                      </w:rPr>
                      <w:t xml:space="preserve"> </w:t>
                    </w:r>
                    <w:r>
                      <w:rPr>
                        <w:spacing w:val="-6"/>
                        <w:sz w:val="26"/>
                      </w:rPr>
                      <w:t>Philosophy</w:t>
                    </w:r>
                    <w:r>
                      <w:rPr>
                        <w:spacing w:val="-11"/>
                        <w:sz w:val="26"/>
                      </w:rPr>
                      <w:t xml:space="preserve"> </w:t>
                    </w:r>
                    <w:r>
                      <w:rPr>
                        <w:spacing w:val="-6"/>
                        <w:sz w:val="26"/>
                      </w:rPr>
                      <w:t>of</w:t>
                    </w:r>
                    <w:r>
                      <w:rPr>
                        <w:spacing w:val="-12"/>
                        <w:sz w:val="26"/>
                      </w:rPr>
                      <w:t xml:space="preserve"> </w:t>
                    </w:r>
                    <w:r>
                      <w:rPr>
                        <w:spacing w:val="-6"/>
                        <w:sz w:val="26"/>
                      </w:rPr>
                      <w:t>Culture</w:t>
                    </w:r>
                    <w:r>
                      <w:rPr>
                        <w:spacing w:val="-10"/>
                        <w:sz w:val="26"/>
                      </w:rPr>
                      <w:t xml:space="preserve"> </w:t>
                    </w:r>
                    <w:r>
                      <w:rPr>
                        <w:spacing w:val="-6"/>
                        <w:sz w:val="26"/>
                      </w:rPr>
                      <w:t>and</w:t>
                    </w:r>
                    <w:r>
                      <w:rPr>
                        <w:spacing w:val="-10"/>
                        <w:sz w:val="26"/>
                      </w:rPr>
                      <w:t xml:space="preserve"> </w:t>
                    </w:r>
                    <w:r>
                      <w:rPr>
                        <w:spacing w:val="-6"/>
                        <w:sz w:val="26"/>
                      </w:rPr>
                      <w:t>Axiology</w:t>
                    </w:r>
                    <w:r>
                      <w:rPr>
                        <w:spacing w:val="-11"/>
                        <w:sz w:val="26"/>
                      </w:rPr>
                      <w:t xml:space="preserve">      </w:t>
                    </w:r>
                    <w:r>
                      <w:rPr>
                        <w:spacing w:val="-6"/>
                        <w:sz w:val="26"/>
                      </w:rPr>
                      <w:t>23(3s)/2026</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D560F9A" wp14:editId="39A13B52">
              <wp:simplePos x="0" y="0"/>
              <wp:positionH relativeFrom="page">
                <wp:posOffset>1032510</wp:posOffset>
              </wp:positionH>
              <wp:positionV relativeFrom="page">
                <wp:posOffset>655320</wp:posOffset>
              </wp:positionV>
              <wp:extent cx="5495925" cy="6350"/>
              <wp:effectExtent l="0" t="0" r="0" b="0"/>
              <wp:wrapNone/>
              <wp:docPr id="2037817760"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6350"/>
                      </a:xfrm>
                      <a:custGeom>
                        <a:avLst/>
                        <a:gdLst/>
                        <a:ahLst/>
                        <a:cxnLst/>
                        <a:rect l="l" t="t" r="r" b="b"/>
                        <a:pathLst>
                          <a:path w="5495925" h="6350">
                            <a:moveTo>
                              <a:pt x="5495544" y="0"/>
                            </a:moveTo>
                            <a:lnTo>
                              <a:pt x="0" y="0"/>
                            </a:lnTo>
                            <a:lnTo>
                              <a:pt x="0" y="6096"/>
                            </a:lnTo>
                            <a:lnTo>
                              <a:pt x="5495544" y="6096"/>
                            </a:lnTo>
                            <a:lnTo>
                              <a:pt x="549554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FACEB" id="Freeform: Shape 5" o:spid="_x0000_s1026" style="position:absolute;margin-left:81.3pt;margin-top:51.6pt;width:432.7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4959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" path="m5495544,l,,,6096r5495544,l5495544,xe" fillcolor="black" stroked="f">
              <v:path arrowok="t"/>
              <w10:wrap anchorx="page" anchory="page"/>
            </v:shape>
          </w:pict>
        </mc:Fallback>
      </mc:AlternateContent>
    </w:r>
  </w:p>
  <w:p w14:paraId="4586020B" w14:textId="77777777" w:rsidR="00657435" w:rsidRDefault="006574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DC47" w14:textId="77777777" w:rsidR="00EC0673" w:rsidRDefault="00EC0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29AD"/>
    <w:multiLevelType w:val="hybridMultilevel"/>
    <w:tmpl w:val="1DE650C2"/>
    <w:lvl w:ilvl="0" w:tplc="38B4E00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B873EAE"/>
    <w:multiLevelType w:val="hybridMultilevel"/>
    <w:tmpl w:val="C152DD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1055760"/>
    <w:multiLevelType w:val="multilevel"/>
    <w:tmpl w:val="F0101D5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9B055DE"/>
    <w:multiLevelType w:val="hybridMultilevel"/>
    <w:tmpl w:val="0CAC78F6"/>
    <w:lvl w:ilvl="0" w:tplc="2B9ECBF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1004FB9"/>
    <w:multiLevelType w:val="hybridMultilevel"/>
    <w:tmpl w:val="40DA3D94"/>
    <w:lvl w:ilvl="0" w:tplc="98A8C9C4">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A1A0840"/>
    <w:multiLevelType w:val="hybridMultilevel"/>
    <w:tmpl w:val="4E1C21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533B85"/>
    <w:multiLevelType w:val="hybridMultilevel"/>
    <w:tmpl w:val="25162D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6C542580"/>
    <w:multiLevelType w:val="hybridMultilevel"/>
    <w:tmpl w:val="A7CCC30C"/>
    <w:lvl w:ilvl="0" w:tplc="B748B818">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C1B5C2F"/>
    <w:multiLevelType w:val="hybridMultilevel"/>
    <w:tmpl w:val="7B2000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70898255">
    <w:abstractNumId w:val="8"/>
  </w:num>
  <w:num w:numId="2" w16cid:durableId="387194913">
    <w:abstractNumId w:val="2"/>
  </w:num>
  <w:num w:numId="3" w16cid:durableId="1663115828">
    <w:abstractNumId w:val="6"/>
  </w:num>
  <w:num w:numId="4" w16cid:durableId="2095122158">
    <w:abstractNumId w:val="3"/>
  </w:num>
  <w:num w:numId="5" w16cid:durableId="2099402125">
    <w:abstractNumId w:val="7"/>
  </w:num>
  <w:num w:numId="6" w16cid:durableId="894658194">
    <w:abstractNumId w:val="0"/>
  </w:num>
  <w:num w:numId="7" w16cid:durableId="712533695">
    <w:abstractNumId w:val="4"/>
  </w:num>
  <w:num w:numId="8" w16cid:durableId="629629698">
    <w:abstractNumId w:val="1"/>
  </w:num>
  <w:num w:numId="9" w16cid:durableId="425152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DB"/>
    <w:rsid w:val="00055159"/>
    <w:rsid w:val="00062E25"/>
    <w:rsid w:val="000668D8"/>
    <w:rsid w:val="000675C6"/>
    <w:rsid w:val="00095CBC"/>
    <w:rsid w:val="0016005C"/>
    <w:rsid w:val="001609DE"/>
    <w:rsid w:val="00160DB4"/>
    <w:rsid w:val="00164B77"/>
    <w:rsid w:val="00194AC0"/>
    <w:rsid w:val="001B006E"/>
    <w:rsid w:val="001B2872"/>
    <w:rsid w:val="001E664A"/>
    <w:rsid w:val="001F5B64"/>
    <w:rsid w:val="00205875"/>
    <w:rsid w:val="00214B05"/>
    <w:rsid w:val="00217057"/>
    <w:rsid w:val="00220954"/>
    <w:rsid w:val="002C621D"/>
    <w:rsid w:val="002C6D08"/>
    <w:rsid w:val="002E2B22"/>
    <w:rsid w:val="002F0D2E"/>
    <w:rsid w:val="002F6DA3"/>
    <w:rsid w:val="00316835"/>
    <w:rsid w:val="003448F6"/>
    <w:rsid w:val="00351C66"/>
    <w:rsid w:val="00361898"/>
    <w:rsid w:val="0039155A"/>
    <w:rsid w:val="003D34B0"/>
    <w:rsid w:val="003E65E2"/>
    <w:rsid w:val="004048D2"/>
    <w:rsid w:val="00486207"/>
    <w:rsid w:val="004954A8"/>
    <w:rsid w:val="004B2117"/>
    <w:rsid w:val="00537777"/>
    <w:rsid w:val="00554C9F"/>
    <w:rsid w:val="005655CE"/>
    <w:rsid w:val="005777B8"/>
    <w:rsid w:val="00593BDF"/>
    <w:rsid w:val="005D3138"/>
    <w:rsid w:val="005D6637"/>
    <w:rsid w:val="00640269"/>
    <w:rsid w:val="00644558"/>
    <w:rsid w:val="00653A99"/>
    <w:rsid w:val="00657435"/>
    <w:rsid w:val="006625C8"/>
    <w:rsid w:val="00672648"/>
    <w:rsid w:val="006C59C8"/>
    <w:rsid w:val="006D0CB3"/>
    <w:rsid w:val="00750732"/>
    <w:rsid w:val="00753663"/>
    <w:rsid w:val="007C0A1D"/>
    <w:rsid w:val="007E3298"/>
    <w:rsid w:val="007F4360"/>
    <w:rsid w:val="00801DB2"/>
    <w:rsid w:val="00802D2B"/>
    <w:rsid w:val="00803A16"/>
    <w:rsid w:val="00831D20"/>
    <w:rsid w:val="00840EDC"/>
    <w:rsid w:val="00851D42"/>
    <w:rsid w:val="0087023D"/>
    <w:rsid w:val="00896D01"/>
    <w:rsid w:val="008D1922"/>
    <w:rsid w:val="00924639"/>
    <w:rsid w:val="00985D84"/>
    <w:rsid w:val="00986C89"/>
    <w:rsid w:val="00A041EF"/>
    <w:rsid w:val="00A32EBA"/>
    <w:rsid w:val="00A416DD"/>
    <w:rsid w:val="00A431A0"/>
    <w:rsid w:val="00A54A80"/>
    <w:rsid w:val="00A60E14"/>
    <w:rsid w:val="00A6440C"/>
    <w:rsid w:val="00A8334D"/>
    <w:rsid w:val="00AA6EAD"/>
    <w:rsid w:val="00AD5BCF"/>
    <w:rsid w:val="00AE551D"/>
    <w:rsid w:val="00B01BE3"/>
    <w:rsid w:val="00B15113"/>
    <w:rsid w:val="00B22D33"/>
    <w:rsid w:val="00B76737"/>
    <w:rsid w:val="00B82B56"/>
    <w:rsid w:val="00BA1D94"/>
    <w:rsid w:val="00BE70C1"/>
    <w:rsid w:val="00C02C19"/>
    <w:rsid w:val="00C0400A"/>
    <w:rsid w:val="00C0430A"/>
    <w:rsid w:val="00C35AB7"/>
    <w:rsid w:val="00C511CC"/>
    <w:rsid w:val="00C70616"/>
    <w:rsid w:val="00C70E17"/>
    <w:rsid w:val="00CC3726"/>
    <w:rsid w:val="00CD1013"/>
    <w:rsid w:val="00CD2D1A"/>
    <w:rsid w:val="00CF7FF5"/>
    <w:rsid w:val="00D058C8"/>
    <w:rsid w:val="00D40C17"/>
    <w:rsid w:val="00D51CEE"/>
    <w:rsid w:val="00D56FF8"/>
    <w:rsid w:val="00D94BBB"/>
    <w:rsid w:val="00DA7CDB"/>
    <w:rsid w:val="00E22AF1"/>
    <w:rsid w:val="00E312CE"/>
    <w:rsid w:val="00E63884"/>
    <w:rsid w:val="00E70646"/>
    <w:rsid w:val="00EA07E6"/>
    <w:rsid w:val="00EC0673"/>
    <w:rsid w:val="00EC4D81"/>
    <w:rsid w:val="00ED7192"/>
    <w:rsid w:val="00EE6102"/>
    <w:rsid w:val="00F23FCA"/>
    <w:rsid w:val="00F3540F"/>
    <w:rsid w:val="00F87C59"/>
    <w:rsid w:val="00FD39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7188C"/>
  <w15:chartTrackingRefBased/>
  <w15:docId w15:val="{9180C4D0-30CA-4710-A04C-5AE2BC52A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7C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A7C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7C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7C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A7C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7C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7C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C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C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C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7C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7C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7C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7C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7C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C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C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CDB"/>
    <w:rPr>
      <w:rFonts w:eastAsiaTheme="majorEastAsia" w:cstheme="majorBidi"/>
      <w:color w:val="272727" w:themeColor="text1" w:themeTint="D8"/>
    </w:rPr>
  </w:style>
  <w:style w:type="paragraph" w:styleId="Title">
    <w:name w:val="Title"/>
    <w:basedOn w:val="Normal"/>
    <w:next w:val="Normal"/>
    <w:link w:val="TitleChar"/>
    <w:uiPriority w:val="10"/>
    <w:qFormat/>
    <w:rsid w:val="00DA7C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7C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7C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7C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CDB"/>
    <w:pPr>
      <w:spacing w:before="160"/>
      <w:jc w:val="center"/>
    </w:pPr>
    <w:rPr>
      <w:i/>
      <w:iCs/>
      <w:color w:val="404040" w:themeColor="text1" w:themeTint="BF"/>
    </w:rPr>
  </w:style>
  <w:style w:type="character" w:customStyle="1" w:styleId="QuoteChar">
    <w:name w:val="Quote Char"/>
    <w:basedOn w:val="DefaultParagraphFont"/>
    <w:link w:val="Quote"/>
    <w:uiPriority w:val="29"/>
    <w:rsid w:val="00DA7CDB"/>
    <w:rPr>
      <w:i/>
      <w:iCs/>
      <w:color w:val="404040" w:themeColor="text1" w:themeTint="BF"/>
    </w:rPr>
  </w:style>
  <w:style w:type="paragraph" w:styleId="ListParagraph">
    <w:name w:val="List Paragraph"/>
    <w:basedOn w:val="Normal"/>
    <w:uiPriority w:val="34"/>
    <w:qFormat/>
    <w:rsid w:val="00DA7CDB"/>
    <w:pPr>
      <w:ind w:left="720"/>
      <w:contextualSpacing/>
    </w:pPr>
  </w:style>
  <w:style w:type="character" w:styleId="IntenseEmphasis">
    <w:name w:val="Intense Emphasis"/>
    <w:basedOn w:val="DefaultParagraphFont"/>
    <w:uiPriority w:val="21"/>
    <w:qFormat/>
    <w:rsid w:val="00DA7CDB"/>
    <w:rPr>
      <w:i/>
      <w:iCs/>
      <w:color w:val="2F5496" w:themeColor="accent1" w:themeShade="BF"/>
    </w:rPr>
  </w:style>
  <w:style w:type="paragraph" w:styleId="IntenseQuote">
    <w:name w:val="Intense Quote"/>
    <w:basedOn w:val="Normal"/>
    <w:next w:val="Normal"/>
    <w:link w:val="IntenseQuoteChar"/>
    <w:uiPriority w:val="30"/>
    <w:qFormat/>
    <w:rsid w:val="00DA7C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7CDB"/>
    <w:rPr>
      <w:i/>
      <w:iCs/>
      <w:color w:val="2F5496" w:themeColor="accent1" w:themeShade="BF"/>
    </w:rPr>
  </w:style>
  <w:style w:type="character" w:styleId="IntenseReference">
    <w:name w:val="Intense Reference"/>
    <w:basedOn w:val="DefaultParagraphFont"/>
    <w:uiPriority w:val="32"/>
    <w:qFormat/>
    <w:rsid w:val="00DA7CDB"/>
    <w:rPr>
      <w:b/>
      <w:bCs/>
      <w:smallCaps/>
      <w:color w:val="2F5496" w:themeColor="accent1" w:themeShade="BF"/>
      <w:spacing w:val="5"/>
    </w:rPr>
  </w:style>
  <w:style w:type="character" w:styleId="Hyperlink">
    <w:name w:val="Hyperlink"/>
    <w:basedOn w:val="DefaultParagraphFont"/>
    <w:uiPriority w:val="99"/>
    <w:unhideWhenUsed/>
    <w:rsid w:val="003E65E2"/>
    <w:rPr>
      <w:color w:val="0563C1" w:themeColor="hyperlink"/>
      <w:u w:val="single"/>
    </w:rPr>
  </w:style>
  <w:style w:type="character" w:styleId="UnresolvedMention">
    <w:name w:val="Unresolved Mention"/>
    <w:basedOn w:val="DefaultParagraphFont"/>
    <w:uiPriority w:val="99"/>
    <w:semiHidden/>
    <w:unhideWhenUsed/>
    <w:rsid w:val="003E65E2"/>
    <w:rPr>
      <w:color w:val="605E5C"/>
      <w:shd w:val="clear" w:color="auto" w:fill="E1DFDD"/>
    </w:rPr>
  </w:style>
  <w:style w:type="paragraph" w:styleId="Bibliography">
    <w:name w:val="Bibliography"/>
    <w:basedOn w:val="Normal"/>
    <w:next w:val="Normal"/>
    <w:uiPriority w:val="37"/>
    <w:unhideWhenUsed/>
    <w:rsid w:val="00851D42"/>
    <w:pPr>
      <w:spacing w:after="0" w:line="480" w:lineRule="auto"/>
      <w:ind w:left="720" w:hanging="720"/>
    </w:pPr>
  </w:style>
  <w:style w:type="character" w:customStyle="1" w:styleId="pureblacktext">
    <w:name w:val="pureblacktext"/>
    <w:basedOn w:val="DefaultParagraphFont"/>
    <w:rsid w:val="00896D01"/>
  </w:style>
  <w:style w:type="paragraph" w:styleId="NormalWeb">
    <w:name w:val="Normal (Web)"/>
    <w:basedOn w:val="Normal"/>
    <w:uiPriority w:val="99"/>
    <w:unhideWhenUsed/>
    <w:rsid w:val="00896D01"/>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character" w:styleId="Strong">
    <w:name w:val="Strong"/>
    <w:basedOn w:val="DefaultParagraphFont"/>
    <w:uiPriority w:val="22"/>
    <w:qFormat/>
    <w:rsid w:val="00896D01"/>
    <w:rPr>
      <w:b/>
      <w:bCs/>
    </w:rPr>
  </w:style>
  <w:style w:type="table" w:styleId="TableGrid">
    <w:name w:val="Table Grid"/>
    <w:basedOn w:val="TableNormal"/>
    <w:uiPriority w:val="39"/>
    <w:rsid w:val="00896D0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D01"/>
    <w:rPr>
      <w:i/>
      <w:iCs/>
    </w:rPr>
  </w:style>
  <w:style w:type="character" w:styleId="CommentReference">
    <w:name w:val="annotation reference"/>
    <w:basedOn w:val="DefaultParagraphFont"/>
    <w:uiPriority w:val="99"/>
    <w:semiHidden/>
    <w:unhideWhenUsed/>
    <w:rsid w:val="00C511CC"/>
    <w:rPr>
      <w:sz w:val="16"/>
      <w:szCs w:val="16"/>
    </w:rPr>
  </w:style>
  <w:style w:type="paragraph" w:styleId="CommentText">
    <w:name w:val="annotation text"/>
    <w:basedOn w:val="Normal"/>
    <w:link w:val="CommentTextChar"/>
    <w:uiPriority w:val="99"/>
    <w:semiHidden/>
    <w:unhideWhenUsed/>
    <w:rsid w:val="00C511CC"/>
    <w:pPr>
      <w:spacing w:line="240" w:lineRule="auto"/>
    </w:pPr>
    <w:rPr>
      <w:sz w:val="20"/>
      <w:szCs w:val="20"/>
    </w:rPr>
  </w:style>
  <w:style w:type="character" w:customStyle="1" w:styleId="CommentTextChar">
    <w:name w:val="Comment Text Char"/>
    <w:basedOn w:val="DefaultParagraphFont"/>
    <w:link w:val="CommentText"/>
    <w:uiPriority w:val="99"/>
    <w:semiHidden/>
    <w:rsid w:val="00C511CC"/>
    <w:rPr>
      <w:sz w:val="20"/>
      <w:szCs w:val="20"/>
    </w:rPr>
  </w:style>
  <w:style w:type="paragraph" w:styleId="CommentSubject">
    <w:name w:val="annotation subject"/>
    <w:basedOn w:val="CommentText"/>
    <w:next w:val="CommentText"/>
    <w:link w:val="CommentSubjectChar"/>
    <w:uiPriority w:val="99"/>
    <w:semiHidden/>
    <w:unhideWhenUsed/>
    <w:rsid w:val="00C511CC"/>
    <w:rPr>
      <w:b/>
      <w:bCs/>
    </w:rPr>
  </w:style>
  <w:style w:type="character" w:customStyle="1" w:styleId="CommentSubjectChar">
    <w:name w:val="Comment Subject Char"/>
    <w:basedOn w:val="CommentTextChar"/>
    <w:link w:val="CommentSubject"/>
    <w:uiPriority w:val="99"/>
    <w:semiHidden/>
    <w:rsid w:val="00C511CC"/>
    <w:rPr>
      <w:b/>
      <w:bCs/>
      <w:sz w:val="20"/>
      <w:szCs w:val="20"/>
    </w:rPr>
  </w:style>
  <w:style w:type="paragraph" w:styleId="Header">
    <w:name w:val="header"/>
    <w:basedOn w:val="Normal"/>
    <w:link w:val="HeaderChar"/>
    <w:uiPriority w:val="99"/>
    <w:unhideWhenUsed/>
    <w:rsid w:val="00AE5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51D"/>
  </w:style>
  <w:style w:type="paragraph" w:styleId="Footer">
    <w:name w:val="footer"/>
    <w:basedOn w:val="Normal"/>
    <w:link w:val="FooterChar"/>
    <w:uiPriority w:val="99"/>
    <w:unhideWhenUsed/>
    <w:rsid w:val="00AE5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833">
      <w:bodyDiv w:val="1"/>
      <w:marLeft w:val="0"/>
      <w:marRight w:val="0"/>
      <w:marTop w:val="0"/>
      <w:marBottom w:val="0"/>
      <w:divBdr>
        <w:top w:val="none" w:sz="0" w:space="0" w:color="auto"/>
        <w:left w:val="none" w:sz="0" w:space="0" w:color="auto"/>
        <w:bottom w:val="none" w:sz="0" w:space="0" w:color="auto"/>
        <w:right w:val="none" w:sz="0" w:space="0" w:color="auto"/>
      </w:divBdr>
    </w:div>
    <w:div w:id="11884807">
      <w:bodyDiv w:val="1"/>
      <w:marLeft w:val="0"/>
      <w:marRight w:val="0"/>
      <w:marTop w:val="0"/>
      <w:marBottom w:val="0"/>
      <w:divBdr>
        <w:top w:val="none" w:sz="0" w:space="0" w:color="auto"/>
        <w:left w:val="none" w:sz="0" w:space="0" w:color="auto"/>
        <w:bottom w:val="none" w:sz="0" w:space="0" w:color="auto"/>
        <w:right w:val="none" w:sz="0" w:space="0" w:color="auto"/>
      </w:divBdr>
    </w:div>
    <w:div w:id="12734914">
      <w:bodyDiv w:val="1"/>
      <w:marLeft w:val="0"/>
      <w:marRight w:val="0"/>
      <w:marTop w:val="0"/>
      <w:marBottom w:val="0"/>
      <w:divBdr>
        <w:top w:val="none" w:sz="0" w:space="0" w:color="auto"/>
        <w:left w:val="none" w:sz="0" w:space="0" w:color="auto"/>
        <w:bottom w:val="none" w:sz="0" w:space="0" w:color="auto"/>
        <w:right w:val="none" w:sz="0" w:space="0" w:color="auto"/>
      </w:divBdr>
    </w:div>
    <w:div w:id="13777360">
      <w:bodyDiv w:val="1"/>
      <w:marLeft w:val="0"/>
      <w:marRight w:val="0"/>
      <w:marTop w:val="0"/>
      <w:marBottom w:val="0"/>
      <w:divBdr>
        <w:top w:val="none" w:sz="0" w:space="0" w:color="auto"/>
        <w:left w:val="none" w:sz="0" w:space="0" w:color="auto"/>
        <w:bottom w:val="none" w:sz="0" w:space="0" w:color="auto"/>
        <w:right w:val="none" w:sz="0" w:space="0" w:color="auto"/>
      </w:divBdr>
    </w:div>
    <w:div w:id="14893120">
      <w:bodyDiv w:val="1"/>
      <w:marLeft w:val="0"/>
      <w:marRight w:val="0"/>
      <w:marTop w:val="0"/>
      <w:marBottom w:val="0"/>
      <w:divBdr>
        <w:top w:val="none" w:sz="0" w:space="0" w:color="auto"/>
        <w:left w:val="none" w:sz="0" w:space="0" w:color="auto"/>
        <w:bottom w:val="none" w:sz="0" w:space="0" w:color="auto"/>
        <w:right w:val="none" w:sz="0" w:space="0" w:color="auto"/>
      </w:divBdr>
    </w:div>
    <w:div w:id="20935209">
      <w:bodyDiv w:val="1"/>
      <w:marLeft w:val="0"/>
      <w:marRight w:val="0"/>
      <w:marTop w:val="0"/>
      <w:marBottom w:val="0"/>
      <w:divBdr>
        <w:top w:val="none" w:sz="0" w:space="0" w:color="auto"/>
        <w:left w:val="none" w:sz="0" w:space="0" w:color="auto"/>
        <w:bottom w:val="none" w:sz="0" w:space="0" w:color="auto"/>
        <w:right w:val="none" w:sz="0" w:space="0" w:color="auto"/>
      </w:divBdr>
    </w:div>
    <w:div w:id="52390631">
      <w:bodyDiv w:val="1"/>
      <w:marLeft w:val="0"/>
      <w:marRight w:val="0"/>
      <w:marTop w:val="0"/>
      <w:marBottom w:val="0"/>
      <w:divBdr>
        <w:top w:val="none" w:sz="0" w:space="0" w:color="auto"/>
        <w:left w:val="none" w:sz="0" w:space="0" w:color="auto"/>
        <w:bottom w:val="none" w:sz="0" w:space="0" w:color="auto"/>
        <w:right w:val="none" w:sz="0" w:space="0" w:color="auto"/>
      </w:divBdr>
    </w:div>
    <w:div w:id="74861038">
      <w:bodyDiv w:val="1"/>
      <w:marLeft w:val="0"/>
      <w:marRight w:val="0"/>
      <w:marTop w:val="0"/>
      <w:marBottom w:val="0"/>
      <w:divBdr>
        <w:top w:val="none" w:sz="0" w:space="0" w:color="auto"/>
        <w:left w:val="none" w:sz="0" w:space="0" w:color="auto"/>
        <w:bottom w:val="none" w:sz="0" w:space="0" w:color="auto"/>
        <w:right w:val="none" w:sz="0" w:space="0" w:color="auto"/>
      </w:divBdr>
    </w:div>
    <w:div w:id="76172341">
      <w:bodyDiv w:val="1"/>
      <w:marLeft w:val="0"/>
      <w:marRight w:val="0"/>
      <w:marTop w:val="0"/>
      <w:marBottom w:val="0"/>
      <w:divBdr>
        <w:top w:val="none" w:sz="0" w:space="0" w:color="auto"/>
        <w:left w:val="none" w:sz="0" w:space="0" w:color="auto"/>
        <w:bottom w:val="none" w:sz="0" w:space="0" w:color="auto"/>
        <w:right w:val="none" w:sz="0" w:space="0" w:color="auto"/>
      </w:divBdr>
    </w:div>
    <w:div w:id="78452109">
      <w:bodyDiv w:val="1"/>
      <w:marLeft w:val="0"/>
      <w:marRight w:val="0"/>
      <w:marTop w:val="0"/>
      <w:marBottom w:val="0"/>
      <w:divBdr>
        <w:top w:val="none" w:sz="0" w:space="0" w:color="auto"/>
        <w:left w:val="none" w:sz="0" w:space="0" w:color="auto"/>
        <w:bottom w:val="none" w:sz="0" w:space="0" w:color="auto"/>
        <w:right w:val="none" w:sz="0" w:space="0" w:color="auto"/>
      </w:divBdr>
    </w:div>
    <w:div w:id="79911699">
      <w:bodyDiv w:val="1"/>
      <w:marLeft w:val="0"/>
      <w:marRight w:val="0"/>
      <w:marTop w:val="0"/>
      <w:marBottom w:val="0"/>
      <w:divBdr>
        <w:top w:val="none" w:sz="0" w:space="0" w:color="auto"/>
        <w:left w:val="none" w:sz="0" w:space="0" w:color="auto"/>
        <w:bottom w:val="none" w:sz="0" w:space="0" w:color="auto"/>
        <w:right w:val="none" w:sz="0" w:space="0" w:color="auto"/>
      </w:divBdr>
    </w:div>
    <w:div w:id="99689150">
      <w:bodyDiv w:val="1"/>
      <w:marLeft w:val="0"/>
      <w:marRight w:val="0"/>
      <w:marTop w:val="0"/>
      <w:marBottom w:val="0"/>
      <w:divBdr>
        <w:top w:val="none" w:sz="0" w:space="0" w:color="auto"/>
        <w:left w:val="none" w:sz="0" w:space="0" w:color="auto"/>
        <w:bottom w:val="none" w:sz="0" w:space="0" w:color="auto"/>
        <w:right w:val="none" w:sz="0" w:space="0" w:color="auto"/>
      </w:divBdr>
    </w:div>
    <w:div w:id="121775872">
      <w:bodyDiv w:val="1"/>
      <w:marLeft w:val="0"/>
      <w:marRight w:val="0"/>
      <w:marTop w:val="0"/>
      <w:marBottom w:val="0"/>
      <w:divBdr>
        <w:top w:val="none" w:sz="0" w:space="0" w:color="auto"/>
        <w:left w:val="none" w:sz="0" w:space="0" w:color="auto"/>
        <w:bottom w:val="none" w:sz="0" w:space="0" w:color="auto"/>
        <w:right w:val="none" w:sz="0" w:space="0" w:color="auto"/>
      </w:divBdr>
    </w:div>
    <w:div w:id="129902178">
      <w:bodyDiv w:val="1"/>
      <w:marLeft w:val="0"/>
      <w:marRight w:val="0"/>
      <w:marTop w:val="0"/>
      <w:marBottom w:val="0"/>
      <w:divBdr>
        <w:top w:val="none" w:sz="0" w:space="0" w:color="auto"/>
        <w:left w:val="none" w:sz="0" w:space="0" w:color="auto"/>
        <w:bottom w:val="none" w:sz="0" w:space="0" w:color="auto"/>
        <w:right w:val="none" w:sz="0" w:space="0" w:color="auto"/>
      </w:divBdr>
    </w:div>
    <w:div w:id="159515358">
      <w:bodyDiv w:val="1"/>
      <w:marLeft w:val="0"/>
      <w:marRight w:val="0"/>
      <w:marTop w:val="0"/>
      <w:marBottom w:val="0"/>
      <w:divBdr>
        <w:top w:val="none" w:sz="0" w:space="0" w:color="auto"/>
        <w:left w:val="none" w:sz="0" w:space="0" w:color="auto"/>
        <w:bottom w:val="none" w:sz="0" w:space="0" w:color="auto"/>
        <w:right w:val="none" w:sz="0" w:space="0" w:color="auto"/>
      </w:divBdr>
    </w:div>
    <w:div w:id="161942377">
      <w:bodyDiv w:val="1"/>
      <w:marLeft w:val="0"/>
      <w:marRight w:val="0"/>
      <w:marTop w:val="0"/>
      <w:marBottom w:val="0"/>
      <w:divBdr>
        <w:top w:val="none" w:sz="0" w:space="0" w:color="auto"/>
        <w:left w:val="none" w:sz="0" w:space="0" w:color="auto"/>
        <w:bottom w:val="none" w:sz="0" w:space="0" w:color="auto"/>
        <w:right w:val="none" w:sz="0" w:space="0" w:color="auto"/>
      </w:divBdr>
    </w:div>
    <w:div w:id="162210472">
      <w:bodyDiv w:val="1"/>
      <w:marLeft w:val="0"/>
      <w:marRight w:val="0"/>
      <w:marTop w:val="0"/>
      <w:marBottom w:val="0"/>
      <w:divBdr>
        <w:top w:val="none" w:sz="0" w:space="0" w:color="auto"/>
        <w:left w:val="none" w:sz="0" w:space="0" w:color="auto"/>
        <w:bottom w:val="none" w:sz="0" w:space="0" w:color="auto"/>
        <w:right w:val="none" w:sz="0" w:space="0" w:color="auto"/>
      </w:divBdr>
    </w:div>
    <w:div w:id="168954071">
      <w:bodyDiv w:val="1"/>
      <w:marLeft w:val="0"/>
      <w:marRight w:val="0"/>
      <w:marTop w:val="0"/>
      <w:marBottom w:val="0"/>
      <w:divBdr>
        <w:top w:val="none" w:sz="0" w:space="0" w:color="auto"/>
        <w:left w:val="none" w:sz="0" w:space="0" w:color="auto"/>
        <w:bottom w:val="none" w:sz="0" w:space="0" w:color="auto"/>
        <w:right w:val="none" w:sz="0" w:space="0" w:color="auto"/>
      </w:divBdr>
    </w:div>
    <w:div w:id="173420359">
      <w:bodyDiv w:val="1"/>
      <w:marLeft w:val="0"/>
      <w:marRight w:val="0"/>
      <w:marTop w:val="0"/>
      <w:marBottom w:val="0"/>
      <w:divBdr>
        <w:top w:val="none" w:sz="0" w:space="0" w:color="auto"/>
        <w:left w:val="none" w:sz="0" w:space="0" w:color="auto"/>
        <w:bottom w:val="none" w:sz="0" w:space="0" w:color="auto"/>
        <w:right w:val="none" w:sz="0" w:space="0" w:color="auto"/>
      </w:divBdr>
    </w:div>
    <w:div w:id="174342220">
      <w:bodyDiv w:val="1"/>
      <w:marLeft w:val="0"/>
      <w:marRight w:val="0"/>
      <w:marTop w:val="0"/>
      <w:marBottom w:val="0"/>
      <w:divBdr>
        <w:top w:val="none" w:sz="0" w:space="0" w:color="auto"/>
        <w:left w:val="none" w:sz="0" w:space="0" w:color="auto"/>
        <w:bottom w:val="none" w:sz="0" w:space="0" w:color="auto"/>
        <w:right w:val="none" w:sz="0" w:space="0" w:color="auto"/>
      </w:divBdr>
    </w:div>
    <w:div w:id="207764072">
      <w:bodyDiv w:val="1"/>
      <w:marLeft w:val="0"/>
      <w:marRight w:val="0"/>
      <w:marTop w:val="0"/>
      <w:marBottom w:val="0"/>
      <w:divBdr>
        <w:top w:val="none" w:sz="0" w:space="0" w:color="auto"/>
        <w:left w:val="none" w:sz="0" w:space="0" w:color="auto"/>
        <w:bottom w:val="none" w:sz="0" w:space="0" w:color="auto"/>
        <w:right w:val="none" w:sz="0" w:space="0" w:color="auto"/>
      </w:divBdr>
    </w:div>
    <w:div w:id="212355470">
      <w:bodyDiv w:val="1"/>
      <w:marLeft w:val="0"/>
      <w:marRight w:val="0"/>
      <w:marTop w:val="0"/>
      <w:marBottom w:val="0"/>
      <w:divBdr>
        <w:top w:val="none" w:sz="0" w:space="0" w:color="auto"/>
        <w:left w:val="none" w:sz="0" w:space="0" w:color="auto"/>
        <w:bottom w:val="none" w:sz="0" w:space="0" w:color="auto"/>
        <w:right w:val="none" w:sz="0" w:space="0" w:color="auto"/>
      </w:divBdr>
    </w:div>
    <w:div w:id="220142030">
      <w:bodyDiv w:val="1"/>
      <w:marLeft w:val="0"/>
      <w:marRight w:val="0"/>
      <w:marTop w:val="0"/>
      <w:marBottom w:val="0"/>
      <w:divBdr>
        <w:top w:val="none" w:sz="0" w:space="0" w:color="auto"/>
        <w:left w:val="none" w:sz="0" w:space="0" w:color="auto"/>
        <w:bottom w:val="none" w:sz="0" w:space="0" w:color="auto"/>
        <w:right w:val="none" w:sz="0" w:space="0" w:color="auto"/>
      </w:divBdr>
    </w:div>
    <w:div w:id="223032338">
      <w:bodyDiv w:val="1"/>
      <w:marLeft w:val="0"/>
      <w:marRight w:val="0"/>
      <w:marTop w:val="0"/>
      <w:marBottom w:val="0"/>
      <w:divBdr>
        <w:top w:val="none" w:sz="0" w:space="0" w:color="auto"/>
        <w:left w:val="none" w:sz="0" w:space="0" w:color="auto"/>
        <w:bottom w:val="none" w:sz="0" w:space="0" w:color="auto"/>
        <w:right w:val="none" w:sz="0" w:space="0" w:color="auto"/>
      </w:divBdr>
    </w:div>
    <w:div w:id="230235010">
      <w:bodyDiv w:val="1"/>
      <w:marLeft w:val="0"/>
      <w:marRight w:val="0"/>
      <w:marTop w:val="0"/>
      <w:marBottom w:val="0"/>
      <w:divBdr>
        <w:top w:val="none" w:sz="0" w:space="0" w:color="auto"/>
        <w:left w:val="none" w:sz="0" w:space="0" w:color="auto"/>
        <w:bottom w:val="none" w:sz="0" w:space="0" w:color="auto"/>
        <w:right w:val="none" w:sz="0" w:space="0" w:color="auto"/>
      </w:divBdr>
    </w:div>
    <w:div w:id="234239691">
      <w:bodyDiv w:val="1"/>
      <w:marLeft w:val="0"/>
      <w:marRight w:val="0"/>
      <w:marTop w:val="0"/>
      <w:marBottom w:val="0"/>
      <w:divBdr>
        <w:top w:val="none" w:sz="0" w:space="0" w:color="auto"/>
        <w:left w:val="none" w:sz="0" w:space="0" w:color="auto"/>
        <w:bottom w:val="none" w:sz="0" w:space="0" w:color="auto"/>
        <w:right w:val="none" w:sz="0" w:space="0" w:color="auto"/>
      </w:divBdr>
    </w:div>
    <w:div w:id="238288979">
      <w:bodyDiv w:val="1"/>
      <w:marLeft w:val="0"/>
      <w:marRight w:val="0"/>
      <w:marTop w:val="0"/>
      <w:marBottom w:val="0"/>
      <w:divBdr>
        <w:top w:val="none" w:sz="0" w:space="0" w:color="auto"/>
        <w:left w:val="none" w:sz="0" w:space="0" w:color="auto"/>
        <w:bottom w:val="none" w:sz="0" w:space="0" w:color="auto"/>
        <w:right w:val="none" w:sz="0" w:space="0" w:color="auto"/>
      </w:divBdr>
    </w:div>
    <w:div w:id="245309523">
      <w:bodyDiv w:val="1"/>
      <w:marLeft w:val="0"/>
      <w:marRight w:val="0"/>
      <w:marTop w:val="0"/>
      <w:marBottom w:val="0"/>
      <w:divBdr>
        <w:top w:val="none" w:sz="0" w:space="0" w:color="auto"/>
        <w:left w:val="none" w:sz="0" w:space="0" w:color="auto"/>
        <w:bottom w:val="none" w:sz="0" w:space="0" w:color="auto"/>
        <w:right w:val="none" w:sz="0" w:space="0" w:color="auto"/>
      </w:divBdr>
    </w:div>
    <w:div w:id="255867188">
      <w:bodyDiv w:val="1"/>
      <w:marLeft w:val="0"/>
      <w:marRight w:val="0"/>
      <w:marTop w:val="0"/>
      <w:marBottom w:val="0"/>
      <w:divBdr>
        <w:top w:val="none" w:sz="0" w:space="0" w:color="auto"/>
        <w:left w:val="none" w:sz="0" w:space="0" w:color="auto"/>
        <w:bottom w:val="none" w:sz="0" w:space="0" w:color="auto"/>
        <w:right w:val="none" w:sz="0" w:space="0" w:color="auto"/>
      </w:divBdr>
    </w:div>
    <w:div w:id="266501576">
      <w:bodyDiv w:val="1"/>
      <w:marLeft w:val="0"/>
      <w:marRight w:val="0"/>
      <w:marTop w:val="0"/>
      <w:marBottom w:val="0"/>
      <w:divBdr>
        <w:top w:val="none" w:sz="0" w:space="0" w:color="auto"/>
        <w:left w:val="none" w:sz="0" w:space="0" w:color="auto"/>
        <w:bottom w:val="none" w:sz="0" w:space="0" w:color="auto"/>
        <w:right w:val="none" w:sz="0" w:space="0" w:color="auto"/>
      </w:divBdr>
    </w:div>
    <w:div w:id="273942977">
      <w:bodyDiv w:val="1"/>
      <w:marLeft w:val="0"/>
      <w:marRight w:val="0"/>
      <w:marTop w:val="0"/>
      <w:marBottom w:val="0"/>
      <w:divBdr>
        <w:top w:val="none" w:sz="0" w:space="0" w:color="auto"/>
        <w:left w:val="none" w:sz="0" w:space="0" w:color="auto"/>
        <w:bottom w:val="none" w:sz="0" w:space="0" w:color="auto"/>
        <w:right w:val="none" w:sz="0" w:space="0" w:color="auto"/>
      </w:divBdr>
    </w:div>
    <w:div w:id="274094308">
      <w:bodyDiv w:val="1"/>
      <w:marLeft w:val="0"/>
      <w:marRight w:val="0"/>
      <w:marTop w:val="0"/>
      <w:marBottom w:val="0"/>
      <w:divBdr>
        <w:top w:val="none" w:sz="0" w:space="0" w:color="auto"/>
        <w:left w:val="none" w:sz="0" w:space="0" w:color="auto"/>
        <w:bottom w:val="none" w:sz="0" w:space="0" w:color="auto"/>
        <w:right w:val="none" w:sz="0" w:space="0" w:color="auto"/>
      </w:divBdr>
    </w:div>
    <w:div w:id="280576694">
      <w:bodyDiv w:val="1"/>
      <w:marLeft w:val="0"/>
      <w:marRight w:val="0"/>
      <w:marTop w:val="0"/>
      <w:marBottom w:val="0"/>
      <w:divBdr>
        <w:top w:val="none" w:sz="0" w:space="0" w:color="auto"/>
        <w:left w:val="none" w:sz="0" w:space="0" w:color="auto"/>
        <w:bottom w:val="none" w:sz="0" w:space="0" w:color="auto"/>
        <w:right w:val="none" w:sz="0" w:space="0" w:color="auto"/>
      </w:divBdr>
    </w:div>
    <w:div w:id="314994349">
      <w:bodyDiv w:val="1"/>
      <w:marLeft w:val="0"/>
      <w:marRight w:val="0"/>
      <w:marTop w:val="0"/>
      <w:marBottom w:val="0"/>
      <w:divBdr>
        <w:top w:val="none" w:sz="0" w:space="0" w:color="auto"/>
        <w:left w:val="none" w:sz="0" w:space="0" w:color="auto"/>
        <w:bottom w:val="none" w:sz="0" w:space="0" w:color="auto"/>
        <w:right w:val="none" w:sz="0" w:space="0" w:color="auto"/>
      </w:divBdr>
    </w:div>
    <w:div w:id="337273170">
      <w:bodyDiv w:val="1"/>
      <w:marLeft w:val="0"/>
      <w:marRight w:val="0"/>
      <w:marTop w:val="0"/>
      <w:marBottom w:val="0"/>
      <w:divBdr>
        <w:top w:val="none" w:sz="0" w:space="0" w:color="auto"/>
        <w:left w:val="none" w:sz="0" w:space="0" w:color="auto"/>
        <w:bottom w:val="none" w:sz="0" w:space="0" w:color="auto"/>
        <w:right w:val="none" w:sz="0" w:space="0" w:color="auto"/>
      </w:divBdr>
    </w:div>
    <w:div w:id="344332029">
      <w:bodyDiv w:val="1"/>
      <w:marLeft w:val="0"/>
      <w:marRight w:val="0"/>
      <w:marTop w:val="0"/>
      <w:marBottom w:val="0"/>
      <w:divBdr>
        <w:top w:val="none" w:sz="0" w:space="0" w:color="auto"/>
        <w:left w:val="none" w:sz="0" w:space="0" w:color="auto"/>
        <w:bottom w:val="none" w:sz="0" w:space="0" w:color="auto"/>
        <w:right w:val="none" w:sz="0" w:space="0" w:color="auto"/>
      </w:divBdr>
    </w:div>
    <w:div w:id="345138013">
      <w:bodyDiv w:val="1"/>
      <w:marLeft w:val="0"/>
      <w:marRight w:val="0"/>
      <w:marTop w:val="0"/>
      <w:marBottom w:val="0"/>
      <w:divBdr>
        <w:top w:val="none" w:sz="0" w:space="0" w:color="auto"/>
        <w:left w:val="none" w:sz="0" w:space="0" w:color="auto"/>
        <w:bottom w:val="none" w:sz="0" w:space="0" w:color="auto"/>
        <w:right w:val="none" w:sz="0" w:space="0" w:color="auto"/>
      </w:divBdr>
    </w:div>
    <w:div w:id="351691642">
      <w:bodyDiv w:val="1"/>
      <w:marLeft w:val="0"/>
      <w:marRight w:val="0"/>
      <w:marTop w:val="0"/>
      <w:marBottom w:val="0"/>
      <w:divBdr>
        <w:top w:val="none" w:sz="0" w:space="0" w:color="auto"/>
        <w:left w:val="none" w:sz="0" w:space="0" w:color="auto"/>
        <w:bottom w:val="none" w:sz="0" w:space="0" w:color="auto"/>
        <w:right w:val="none" w:sz="0" w:space="0" w:color="auto"/>
      </w:divBdr>
    </w:div>
    <w:div w:id="357049371">
      <w:bodyDiv w:val="1"/>
      <w:marLeft w:val="0"/>
      <w:marRight w:val="0"/>
      <w:marTop w:val="0"/>
      <w:marBottom w:val="0"/>
      <w:divBdr>
        <w:top w:val="none" w:sz="0" w:space="0" w:color="auto"/>
        <w:left w:val="none" w:sz="0" w:space="0" w:color="auto"/>
        <w:bottom w:val="none" w:sz="0" w:space="0" w:color="auto"/>
        <w:right w:val="none" w:sz="0" w:space="0" w:color="auto"/>
      </w:divBdr>
    </w:div>
    <w:div w:id="362748055">
      <w:bodyDiv w:val="1"/>
      <w:marLeft w:val="0"/>
      <w:marRight w:val="0"/>
      <w:marTop w:val="0"/>
      <w:marBottom w:val="0"/>
      <w:divBdr>
        <w:top w:val="none" w:sz="0" w:space="0" w:color="auto"/>
        <w:left w:val="none" w:sz="0" w:space="0" w:color="auto"/>
        <w:bottom w:val="none" w:sz="0" w:space="0" w:color="auto"/>
        <w:right w:val="none" w:sz="0" w:space="0" w:color="auto"/>
      </w:divBdr>
    </w:div>
    <w:div w:id="371616236">
      <w:bodyDiv w:val="1"/>
      <w:marLeft w:val="0"/>
      <w:marRight w:val="0"/>
      <w:marTop w:val="0"/>
      <w:marBottom w:val="0"/>
      <w:divBdr>
        <w:top w:val="none" w:sz="0" w:space="0" w:color="auto"/>
        <w:left w:val="none" w:sz="0" w:space="0" w:color="auto"/>
        <w:bottom w:val="none" w:sz="0" w:space="0" w:color="auto"/>
        <w:right w:val="none" w:sz="0" w:space="0" w:color="auto"/>
      </w:divBdr>
    </w:div>
    <w:div w:id="375811473">
      <w:bodyDiv w:val="1"/>
      <w:marLeft w:val="0"/>
      <w:marRight w:val="0"/>
      <w:marTop w:val="0"/>
      <w:marBottom w:val="0"/>
      <w:divBdr>
        <w:top w:val="none" w:sz="0" w:space="0" w:color="auto"/>
        <w:left w:val="none" w:sz="0" w:space="0" w:color="auto"/>
        <w:bottom w:val="none" w:sz="0" w:space="0" w:color="auto"/>
        <w:right w:val="none" w:sz="0" w:space="0" w:color="auto"/>
      </w:divBdr>
    </w:div>
    <w:div w:id="378669192">
      <w:bodyDiv w:val="1"/>
      <w:marLeft w:val="0"/>
      <w:marRight w:val="0"/>
      <w:marTop w:val="0"/>
      <w:marBottom w:val="0"/>
      <w:divBdr>
        <w:top w:val="none" w:sz="0" w:space="0" w:color="auto"/>
        <w:left w:val="none" w:sz="0" w:space="0" w:color="auto"/>
        <w:bottom w:val="none" w:sz="0" w:space="0" w:color="auto"/>
        <w:right w:val="none" w:sz="0" w:space="0" w:color="auto"/>
      </w:divBdr>
    </w:div>
    <w:div w:id="446389236">
      <w:bodyDiv w:val="1"/>
      <w:marLeft w:val="0"/>
      <w:marRight w:val="0"/>
      <w:marTop w:val="0"/>
      <w:marBottom w:val="0"/>
      <w:divBdr>
        <w:top w:val="none" w:sz="0" w:space="0" w:color="auto"/>
        <w:left w:val="none" w:sz="0" w:space="0" w:color="auto"/>
        <w:bottom w:val="none" w:sz="0" w:space="0" w:color="auto"/>
        <w:right w:val="none" w:sz="0" w:space="0" w:color="auto"/>
      </w:divBdr>
    </w:div>
    <w:div w:id="451019855">
      <w:bodyDiv w:val="1"/>
      <w:marLeft w:val="0"/>
      <w:marRight w:val="0"/>
      <w:marTop w:val="0"/>
      <w:marBottom w:val="0"/>
      <w:divBdr>
        <w:top w:val="none" w:sz="0" w:space="0" w:color="auto"/>
        <w:left w:val="none" w:sz="0" w:space="0" w:color="auto"/>
        <w:bottom w:val="none" w:sz="0" w:space="0" w:color="auto"/>
        <w:right w:val="none" w:sz="0" w:space="0" w:color="auto"/>
      </w:divBdr>
    </w:div>
    <w:div w:id="451216011">
      <w:bodyDiv w:val="1"/>
      <w:marLeft w:val="0"/>
      <w:marRight w:val="0"/>
      <w:marTop w:val="0"/>
      <w:marBottom w:val="0"/>
      <w:divBdr>
        <w:top w:val="none" w:sz="0" w:space="0" w:color="auto"/>
        <w:left w:val="none" w:sz="0" w:space="0" w:color="auto"/>
        <w:bottom w:val="none" w:sz="0" w:space="0" w:color="auto"/>
        <w:right w:val="none" w:sz="0" w:space="0" w:color="auto"/>
      </w:divBdr>
    </w:div>
    <w:div w:id="462190970">
      <w:bodyDiv w:val="1"/>
      <w:marLeft w:val="0"/>
      <w:marRight w:val="0"/>
      <w:marTop w:val="0"/>
      <w:marBottom w:val="0"/>
      <w:divBdr>
        <w:top w:val="none" w:sz="0" w:space="0" w:color="auto"/>
        <w:left w:val="none" w:sz="0" w:space="0" w:color="auto"/>
        <w:bottom w:val="none" w:sz="0" w:space="0" w:color="auto"/>
        <w:right w:val="none" w:sz="0" w:space="0" w:color="auto"/>
      </w:divBdr>
    </w:div>
    <w:div w:id="462696916">
      <w:bodyDiv w:val="1"/>
      <w:marLeft w:val="0"/>
      <w:marRight w:val="0"/>
      <w:marTop w:val="0"/>
      <w:marBottom w:val="0"/>
      <w:divBdr>
        <w:top w:val="none" w:sz="0" w:space="0" w:color="auto"/>
        <w:left w:val="none" w:sz="0" w:space="0" w:color="auto"/>
        <w:bottom w:val="none" w:sz="0" w:space="0" w:color="auto"/>
        <w:right w:val="none" w:sz="0" w:space="0" w:color="auto"/>
      </w:divBdr>
    </w:div>
    <w:div w:id="463231544">
      <w:bodyDiv w:val="1"/>
      <w:marLeft w:val="0"/>
      <w:marRight w:val="0"/>
      <w:marTop w:val="0"/>
      <w:marBottom w:val="0"/>
      <w:divBdr>
        <w:top w:val="none" w:sz="0" w:space="0" w:color="auto"/>
        <w:left w:val="none" w:sz="0" w:space="0" w:color="auto"/>
        <w:bottom w:val="none" w:sz="0" w:space="0" w:color="auto"/>
        <w:right w:val="none" w:sz="0" w:space="0" w:color="auto"/>
      </w:divBdr>
      <w:divsChild>
        <w:div w:id="363989270">
          <w:marLeft w:val="0"/>
          <w:marRight w:val="0"/>
          <w:marTop w:val="0"/>
          <w:marBottom w:val="0"/>
          <w:divBdr>
            <w:top w:val="none" w:sz="0" w:space="0" w:color="auto"/>
            <w:left w:val="none" w:sz="0" w:space="0" w:color="auto"/>
            <w:bottom w:val="none" w:sz="0" w:space="0" w:color="auto"/>
            <w:right w:val="none" w:sz="0" w:space="0" w:color="auto"/>
          </w:divBdr>
          <w:divsChild>
            <w:div w:id="1772820282">
              <w:marLeft w:val="0"/>
              <w:marRight w:val="0"/>
              <w:marTop w:val="0"/>
              <w:marBottom w:val="0"/>
              <w:divBdr>
                <w:top w:val="none" w:sz="0" w:space="0" w:color="auto"/>
                <w:left w:val="none" w:sz="0" w:space="0" w:color="auto"/>
                <w:bottom w:val="none" w:sz="0" w:space="0" w:color="auto"/>
                <w:right w:val="none" w:sz="0" w:space="0" w:color="auto"/>
              </w:divBdr>
              <w:divsChild>
                <w:div w:id="2069302375">
                  <w:marLeft w:val="0"/>
                  <w:marRight w:val="0"/>
                  <w:marTop w:val="0"/>
                  <w:marBottom w:val="0"/>
                  <w:divBdr>
                    <w:top w:val="none" w:sz="0" w:space="0" w:color="auto"/>
                    <w:left w:val="none" w:sz="0" w:space="0" w:color="auto"/>
                    <w:bottom w:val="none" w:sz="0" w:space="0" w:color="auto"/>
                    <w:right w:val="none" w:sz="0" w:space="0" w:color="auto"/>
                  </w:divBdr>
                  <w:divsChild>
                    <w:div w:id="1462532811">
                      <w:marLeft w:val="0"/>
                      <w:marRight w:val="0"/>
                      <w:marTop w:val="0"/>
                      <w:marBottom w:val="0"/>
                      <w:divBdr>
                        <w:top w:val="none" w:sz="0" w:space="0" w:color="auto"/>
                        <w:left w:val="none" w:sz="0" w:space="0" w:color="auto"/>
                        <w:bottom w:val="none" w:sz="0" w:space="0" w:color="auto"/>
                        <w:right w:val="none" w:sz="0" w:space="0" w:color="auto"/>
                      </w:divBdr>
                      <w:divsChild>
                        <w:div w:id="1858080708">
                          <w:marLeft w:val="0"/>
                          <w:marRight w:val="0"/>
                          <w:marTop w:val="0"/>
                          <w:marBottom w:val="0"/>
                          <w:divBdr>
                            <w:top w:val="none" w:sz="0" w:space="0" w:color="auto"/>
                            <w:left w:val="none" w:sz="0" w:space="0" w:color="auto"/>
                            <w:bottom w:val="none" w:sz="0" w:space="0" w:color="auto"/>
                            <w:right w:val="none" w:sz="0" w:space="0" w:color="auto"/>
                          </w:divBdr>
                          <w:divsChild>
                            <w:div w:id="274020759">
                              <w:marLeft w:val="0"/>
                              <w:marRight w:val="0"/>
                              <w:marTop w:val="0"/>
                              <w:marBottom w:val="0"/>
                              <w:divBdr>
                                <w:top w:val="none" w:sz="0" w:space="0" w:color="auto"/>
                                <w:left w:val="none" w:sz="0" w:space="0" w:color="auto"/>
                                <w:bottom w:val="none" w:sz="0" w:space="0" w:color="auto"/>
                                <w:right w:val="none" w:sz="0" w:space="0" w:color="auto"/>
                              </w:divBdr>
                              <w:divsChild>
                                <w:div w:id="2027978224">
                                  <w:marLeft w:val="0"/>
                                  <w:marRight w:val="0"/>
                                  <w:marTop w:val="0"/>
                                  <w:marBottom w:val="0"/>
                                  <w:divBdr>
                                    <w:top w:val="none" w:sz="0" w:space="0" w:color="auto"/>
                                    <w:left w:val="none" w:sz="0" w:space="0" w:color="auto"/>
                                    <w:bottom w:val="none" w:sz="0" w:space="0" w:color="auto"/>
                                    <w:right w:val="none" w:sz="0" w:space="0" w:color="auto"/>
                                  </w:divBdr>
                                  <w:divsChild>
                                    <w:div w:id="5708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548966">
      <w:bodyDiv w:val="1"/>
      <w:marLeft w:val="0"/>
      <w:marRight w:val="0"/>
      <w:marTop w:val="0"/>
      <w:marBottom w:val="0"/>
      <w:divBdr>
        <w:top w:val="none" w:sz="0" w:space="0" w:color="auto"/>
        <w:left w:val="none" w:sz="0" w:space="0" w:color="auto"/>
        <w:bottom w:val="none" w:sz="0" w:space="0" w:color="auto"/>
        <w:right w:val="none" w:sz="0" w:space="0" w:color="auto"/>
      </w:divBdr>
    </w:div>
    <w:div w:id="472450105">
      <w:bodyDiv w:val="1"/>
      <w:marLeft w:val="0"/>
      <w:marRight w:val="0"/>
      <w:marTop w:val="0"/>
      <w:marBottom w:val="0"/>
      <w:divBdr>
        <w:top w:val="none" w:sz="0" w:space="0" w:color="auto"/>
        <w:left w:val="none" w:sz="0" w:space="0" w:color="auto"/>
        <w:bottom w:val="none" w:sz="0" w:space="0" w:color="auto"/>
        <w:right w:val="none" w:sz="0" w:space="0" w:color="auto"/>
      </w:divBdr>
    </w:div>
    <w:div w:id="474835528">
      <w:bodyDiv w:val="1"/>
      <w:marLeft w:val="0"/>
      <w:marRight w:val="0"/>
      <w:marTop w:val="0"/>
      <w:marBottom w:val="0"/>
      <w:divBdr>
        <w:top w:val="none" w:sz="0" w:space="0" w:color="auto"/>
        <w:left w:val="none" w:sz="0" w:space="0" w:color="auto"/>
        <w:bottom w:val="none" w:sz="0" w:space="0" w:color="auto"/>
        <w:right w:val="none" w:sz="0" w:space="0" w:color="auto"/>
      </w:divBdr>
    </w:div>
    <w:div w:id="476150792">
      <w:bodyDiv w:val="1"/>
      <w:marLeft w:val="0"/>
      <w:marRight w:val="0"/>
      <w:marTop w:val="0"/>
      <w:marBottom w:val="0"/>
      <w:divBdr>
        <w:top w:val="none" w:sz="0" w:space="0" w:color="auto"/>
        <w:left w:val="none" w:sz="0" w:space="0" w:color="auto"/>
        <w:bottom w:val="none" w:sz="0" w:space="0" w:color="auto"/>
        <w:right w:val="none" w:sz="0" w:space="0" w:color="auto"/>
      </w:divBdr>
    </w:div>
    <w:div w:id="483158767">
      <w:bodyDiv w:val="1"/>
      <w:marLeft w:val="0"/>
      <w:marRight w:val="0"/>
      <w:marTop w:val="0"/>
      <w:marBottom w:val="0"/>
      <w:divBdr>
        <w:top w:val="none" w:sz="0" w:space="0" w:color="auto"/>
        <w:left w:val="none" w:sz="0" w:space="0" w:color="auto"/>
        <w:bottom w:val="none" w:sz="0" w:space="0" w:color="auto"/>
        <w:right w:val="none" w:sz="0" w:space="0" w:color="auto"/>
      </w:divBdr>
    </w:div>
    <w:div w:id="486284735">
      <w:bodyDiv w:val="1"/>
      <w:marLeft w:val="0"/>
      <w:marRight w:val="0"/>
      <w:marTop w:val="0"/>
      <w:marBottom w:val="0"/>
      <w:divBdr>
        <w:top w:val="none" w:sz="0" w:space="0" w:color="auto"/>
        <w:left w:val="none" w:sz="0" w:space="0" w:color="auto"/>
        <w:bottom w:val="none" w:sz="0" w:space="0" w:color="auto"/>
        <w:right w:val="none" w:sz="0" w:space="0" w:color="auto"/>
      </w:divBdr>
    </w:div>
    <w:div w:id="491263417">
      <w:bodyDiv w:val="1"/>
      <w:marLeft w:val="0"/>
      <w:marRight w:val="0"/>
      <w:marTop w:val="0"/>
      <w:marBottom w:val="0"/>
      <w:divBdr>
        <w:top w:val="none" w:sz="0" w:space="0" w:color="auto"/>
        <w:left w:val="none" w:sz="0" w:space="0" w:color="auto"/>
        <w:bottom w:val="none" w:sz="0" w:space="0" w:color="auto"/>
        <w:right w:val="none" w:sz="0" w:space="0" w:color="auto"/>
      </w:divBdr>
    </w:div>
    <w:div w:id="494226314">
      <w:bodyDiv w:val="1"/>
      <w:marLeft w:val="0"/>
      <w:marRight w:val="0"/>
      <w:marTop w:val="0"/>
      <w:marBottom w:val="0"/>
      <w:divBdr>
        <w:top w:val="none" w:sz="0" w:space="0" w:color="auto"/>
        <w:left w:val="none" w:sz="0" w:space="0" w:color="auto"/>
        <w:bottom w:val="none" w:sz="0" w:space="0" w:color="auto"/>
        <w:right w:val="none" w:sz="0" w:space="0" w:color="auto"/>
      </w:divBdr>
    </w:div>
    <w:div w:id="514468308">
      <w:bodyDiv w:val="1"/>
      <w:marLeft w:val="0"/>
      <w:marRight w:val="0"/>
      <w:marTop w:val="0"/>
      <w:marBottom w:val="0"/>
      <w:divBdr>
        <w:top w:val="none" w:sz="0" w:space="0" w:color="auto"/>
        <w:left w:val="none" w:sz="0" w:space="0" w:color="auto"/>
        <w:bottom w:val="none" w:sz="0" w:space="0" w:color="auto"/>
        <w:right w:val="none" w:sz="0" w:space="0" w:color="auto"/>
      </w:divBdr>
    </w:div>
    <w:div w:id="524445000">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2891317">
      <w:bodyDiv w:val="1"/>
      <w:marLeft w:val="0"/>
      <w:marRight w:val="0"/>
      <w:marTop w:val="0"/>
      <w:marBottom w:val="0"/>
      <w:divBdr>
        <w:top w:val="none" w:sz="0" w:space="0" w:color="auto"/>
        <w:left w:val="none" w:sz="0" w:space="0" w:color="auto"/>
        <w:bottom w:val="none" w:sz="0" w:space="0" w:color="auto"/>
        <w:right w:val="none" w:sz="0" w:space="0" w:color="auto"/>
      </w:divBdr>
    </w:div>
    <w:div w:id="544604942">
      <w:bodyDiv w:val="1"/>
      <w:marLeft w:val="0"/>
      <w:marRight w:val="0"/>
      <w:marTop w:val="0"/>
      <w:marBottom w:val="0"/>
      <w:divBdr>
        <w:top w:val="none" w:sz="0" w:space="0" w:color="auto"/>
        <w:left w:val="none" w:sz="0" w:space="0" w:color="auto"/>
        <w:bottom w:val="none" w:sz="0" w:space="0" w:color="auto"/>
        <w:right w:val="none" w:sz="0" w:space="0" w:color="auto"/>
      </w:divBdr>
    </w:div>
    <w:div w:id="563834234">
      <w:bodyDiv w:val="1"/>
      <w:marLeft w:val="0"/>
      <w:marRight w:val="0"/>
      <w:marTop w:val="0"/>
      <w:marBottom w:val="0"/>
      <w:divBdr>
        <w:top w:val="none" w:sz="0" w:space="0" w:color="auto"/>
        <w:left w:val="none" w:sz="0" w:space="0" w:color="auto"/>
        <w:bottom w:val="none" w:sz="0" w:space="0" w:color="auto"/>
        <w:right w:val="none" w:sz="0" w:space="0" w:color="auto"/>
      </w:divBdr>
    </w:div>
    <w:div w:id="613100721">
      <w:bodyDiv w:val="1"/>
      <w:marLeft w:val="0"/>
      <w:marRight w:val="0"/>
      <w:marTop w:val="0"/>
      <w:marBottom w:val="0"/>
      <w:divBdr>
        <w:top w:val="none" w:sz="0" w:space="0" w:color="auto"/>
        <w:left w:val="none" w:sz="0" w:space="0" w:color="auto"/>
        <w:bottom w:val="none" w:sz="0" w:space="0" w:color="auto"/>
        <w:right w:val="none" w:sz="0" w:space="0" w:color="auto"/>
      </w:divBdr>
    </w:div>
    <w:div w:id="621426396">
      <w:bodyDiv w:val="1"/>
      <w:marLeft w:val="0"/>
      <w:marRight w:val="0"/>
      <w:marTop w:val="0"/>
      <w:marBottom w:val="0"/>
      <w:divBdr>
        <w:top w:val="none" w:sz="0" w:space="0" w:color="auto"/>
        <w:left w:val="none" w:sz="0" w:space="0" w:color="auto"/>
        <w:bottom w:val="none" w:sz="0" w:space="0" w:color="auto"/>
        <w:right w:val="none" w:sz="0" w:space="0" w:color="auto"/>
      </w:divBdr>
    </w:div>
    <w:div w:id="627735890">
      <w:bodyDiv w:val="1"/>
      <w:marLeft w:val="0"/>
      <w:marRight w:val="0"/>
      <w:marTop w:val="0"/>
      <w:marBottom w:val="0"/>
      <w:divBdr>
        <w:top w:val="none" w:sz="0" w:space="0" w:color="auto"/>
        <w:left w:val="none" w:sz="0" w:space="0" w:color="auto"/>
        <w:bottom w:val="none" w:sz="0" w:space="0" w:color="auto"/>
        <w:right w:val="none" w:sz="0" w:space="0" w:color="auto"/>
      </w:divBdr>
    </w:div>
    <w:div w:id="628242020">
      <w:bodyDiv w:val="1"/>
      <w:marLeft w:val="0"/>
      <w:marRight w:val="0"/>
      <w:marTop w:val="0"/>
      <w:marBottom w:val="0"/>
      <w:divBdr>
        <w:top w:val="none" w:sz="0" w:space="0" w:color="auto"/>
        <w:left w:val="none" w:sz="0" w:space="0" w:color="auto"/>
        <w:bottom w:val="none" w:sz="0" w:space="0" w:color="auto"/>
        <w:right w:val="none" w:sz="0" w:space="0" w:color="auto"/>
      </w:divBdr>
    </w:div>
    <w:div w:id="634527991">
      <w:bodyDiv w:val="1"/>
      <w:marLeft w:val="0"/>
      <w:marRight w:val="0"/>
      <w:marTop w:val="0"/>
      <w:marBottom w:val="0"/>
      <w:divBdr>
        <w:top w:val="none" w:sz="0" w:space="0" w:color="auto"/>
        <w:left w:val="none" w:sz="0" w:space="0" w:color="auto"/>
        <w:bottom w:val="none" w:sz="0" w:space="0" w:color="auto"/>
        <w:right w:val="none" w:sz="0" w:space="0" w:color="auto"/>
      </w:divBdr>
    </w:div>
    <w:div w:id="635261888">
      <w:bodyDiv w:val="1"/>
      <w:marLeft w:val="0"/>
      <w:marRight w:val="0"/>
      <w:marTop w:val="0"/>
      <w:marBottom w:val="0"/>
      <w:divBdr>
        <w:top w:val="none" w:sz="0" w:space="0" w:color="auto"/>
        <w:left w:val="none" w:sz="0" w:space="0" w:color="auto"/>
        <w:bottom w:val="none" w:sz="0" w:space="0" w:color="auto"/>
        <w:right w:val="none" w:sz="0" w:space="0" w:color="auto"/>
      </w:divBdr>
    </w:div>
    <w:div w:id="646085610">
      <w:bodyDiv w:val="1"/>
      <w:marLeft w:val="0"/>
      <w:marRight w:val="0"/>
      <w:marTop w:val="0"/>
      <w:marBottom w:val="0"/>
      <w:divBdr>
        <w:top w:val="none" w:sz="0" w:space="0" w:color="auto"/>
        <w:left w:val="none" w:sz="0" w:space="0" w:color="auto"/>
        <w:bottom w:val="none" w:sz="0" w:space="0" w:color="auto"/>
        <w:right w:val="none" w:sz="0" w:space="0" w:color="auto"/>
      </w:divBdr>
    </w:div>
    <w:div w:id="647443602">
      <w:bodyDiv w:val="1"/>
      <w:marLeft w:val="0"/>
      <w:marRight w:val="0"/>
      <w:marTop w:val="0"/>
      <w:marBottom w:val="0"/>
      <w:divBdr>
        <w:top w:val="none" w:sz="0" w:space="0" w:color="auto"/>
        <w:left w:val="none" w:sz="0" w:space="0" w:color="auto"/>
        <w:bottom w:val="none" w:sz="0" w:space="0" w:color="auto"/>
        <w:right w:val="none" w:sz="0" w:space="0" w:color="auto"/>
      </w:divBdr>
    </w:div>
    <w:div w:id="654067994">
      <w:bodyDiv w:val="1"/>
      <w:marLeft w:val="0"/>
      <w:marRight w:val="0"/>
      <w:marTop w:val="0"/>
      <w:marBottom w:val="0"/>
      <w:divBdr>
        <w:top w:val="none" w:sz="0" w:space="0" w:color="auto"/>
        <w:left w:val="none" w:sz="0" w:space="0" w:color="auto"/>
        <w:bottom w:val="none" w:sz="0" w:space="0" w:color="auto"/>
        <w:right w:val="none" w:sz="0" w:space="0" w:color="auto"/>
      </w:divBdr>
    </w:div>
    <w:div w:id="673798718">
      <w:bodyDiv w:val="1"/>
      <w:marLeft w:val="0"/>
      <w:marRight w:val="0"/>
      <w:marTop w:val="0"/>
      <w:marBottom w:val="0"/>
      <w:divBdr>
        <w:top w:val="none" w:sz="0" w:space="0" w:color="auto"/>
        <w:left w:val="none" w:sz="0" w:space="0" w:color="auto"/>
        <w:bottom w:val="none" w:sz="0" w:space="0" w:color="auto"/>
        <w:right w:val="none" w:sz="0" w:space="0" w:color="auto"/>
      </w:divBdr>
    </w:div>
    <w:div w:id="682127793">
      <w:bodyDiv w:val="1"/>
      <w:marLeft w:val="0"/>
      <w:marRight w:val="0"/>
      <w:marTop w:val="0"/>
      <w:marBottom w:val="0"/>
      <w:divBdr>
        <w:top w:val="none" w:sz="0" w:space="0" w:color="auto"/>
        <w:left w:val="none" w:sz="0" w:space="0" w:color="auto"/>
        <w:bottom w:val="none" w:sz="0" w:space="0" w:color="auto"/>
        <w:right w:val="none" w:sz="0" w:space="0" w:color="auto"/>
      </w:divBdr>
    </w:div>
    <w:div w:id="695618347">
      <w:bodyDiv w:val="1"/>
      <w:marLeft w:val="0"/>
      <w:marRight w:val="0"/>
      <w:marTop w:val="0"/>
      <w:marBottom w:val="0"/>
      <w:divBdr>
        <w:top w:val="none" w:sz="0" w:space="0" w:color="auto"/>
        <w:left w:val="none" w:sz="0" w:space="0" w:color="auto"/>
        <w:bottom w:val="none" w:sz="0" w:space="0" w:color="auto"/>
        <w:right w:val="none" w:sz="0" w:space="0" w:color="auto"/>
      </w:divBdr>
    </w:div>
    <w:div w:id="711728954">
      <w:bodyDiv w:val="1"/>
      <w:marLeft w:val="0"/>
      <w:marRight w:val="0"/>
      <w:marTop w:val="0"/>
      <w:marBottom w:val="0"/>
      <w:divBdr>
        <w:top w:val="none" w:sz="0" w:space="0" w:color="auto"/>
        <w:left w:val="none" w:sz="0" w:space="0" w:color="auto"/>
        <w:bottom w:val="none" w:sz="0" w:space="0" w:color="auto"/>
        <w:right w:val="none" w:sz="0" w:space="0" w:color="auto"/>
      </w:divBdr>
    </w:div>
    <w:div w:id="715399181">
      <w:bodyDiv w:val="1"/>
      <w:marLeft w:val="0"/>
      <w:marRight w:val="0"/>
      <w:marTop w:val="0"/>
      <w:marBottom w:val="0"/>
      <w:divBdr>
        <w:top w:val="none" w:sz="0" w:space="0" w:color="auto"/>
        <w:left w:val="none" w:sz="0" w:space="0" w:color="auto"/>
        <w:bottom w:val="none" w:sz="0" w:space="0" w:color="auto"/>
        <w:right w:val="none" w:sz="0" w:space="0" w:color="auto"/>
      </w:divBdr>
    </w:div>
    <w:div w:id="751318936">
      <w:bodyDiv w:val="1"/>
      <w:marLeft w:val="0"/>
      <w:marRight w:val="0"/>
      <w:marTop w:val="0"/>
      <w:marBottom w:val="0"/>
      <w:divBdr>
        <w:top w:val="none" w:sz="0" w:space="0" w:color="auto"/>
        <w:left w:val="none" w:sz="0" w:space="0" w:color="auto"/>
        <w:bottom w:val="none" w:sz="0" w:space="0" w:color="auto"/>
        <w:right w:val="none" w:sz="0" w:space="0" w:color="auto"/>
      </w:divBdr>
    </w:div>
    <w:div w:id="765925047">
      <w:bodyDiv w:val="1"/>
      <w:marLeft w:val="0"/>
      <w:marRight w:val="0"/>
      <w:marTop w:val="0"/>
      <w:marBottom w:val="0"/>
      <w:divBdr>
        <w:top w:val="none" w:sz="0" w:space="0" w:color="auto"/>
        <w:left w:val="none" w:sz="0" w:space="0" w:color="auto"/>
        <w:bottom w:val="none" w:sz="0" w:space="0" w:color="auto"/>
        <w:right w:val="none" w:sz="0" w:space="0" w:color="auto"/>
      </w:divBdr>
    </w:div>
    <w:div w:id="769740893">
      <w:bodyDiv w:val="1"/>
      <w:marLeft w:val="0"/>
      <w:marRight w:val="0"/>
      <w:marTop w:val="0"/>
      <w:marBottom w:val="0"/>
      <w:divBdr>
        <w:top w:val="none" w:sz="0" w:space="0" w:color="auto"/>
        <w:left w:val="none" w:sz="0" w:space="0" w:color="auto"/>
        <w:bottom w:val="none" w:sz="0" w:space="0" w:color="auto"/>
        <w:right w:val="none" w:sz="0" w:space="0" w:color="auto"/>
      </w:divBdr>
    </w:div>
    <w:div w:id="771361290">
      <w:bodyDiv w:val="1"/>
      <w:marLeft w:val="0"/>
      <w:marRight w:val="0"/>
      <w:marTop w:val="0"/>
      <w:marBottom w:val="0"/>
      <w:divBdr>
        <w:top w:val="none" w:sz="0" w:space="0" w:color="auto"/>
        <w:left w:val="none" w:sz="0" w:space="0" w:color="auto"/>
        <w:bottom w:val="none" w:sz="0" w:space="0" w:color="auto"/>
        <w:right w:val="none" w:sz="0" w:space="0" w:color="auto"/>
      </w:divBdr>
    </w:div>
    <w:div w:id="773016400">
      <w:bodyDiv w:val="1"/>
      <w:marLeft w:val="0"/>
      <w:marRight w:val="0"/>
      <w:marTop w:val="0"/>
      <w:marBottom w:val="0"/>
      <w:divBdr>
        <w:top w:val="none" w:sz="0" w:space="0" w:color="auto"/>
        <w:left w:val="none" w:sz="0" w:space="0" w:color="auto"/>
        <w:bottom w:val="none" w:sz="0" w:space="0" w:color="auto"/>
        <w:right w:val="none" w:sz="0" w:space="0" w:color="auto"/>
      </w:divBdr>
    </w:div>
    <w:div w:id="779422870">
      <w:bodyDiv w:val="1"/>
      <w:marLeft w:val="0"/>
      <w:marRight w:val="0"/>
      <w:marTop w:val="0"/>
      <w:marBottom w:val="0"/>
      <w:divBdr>
        <w:top w:val="none" w:sz="0" w:space="0" w:color="auto"/>
        <w:left w:val="none" w:sz="0" w:space="0" w:color="auto"/>
        <w:bottom w:val="none" w:sz="0" w:space="0" w:color="auto"/>
        <w:right w:val="none" w:sz="0" w:space="0" w:color="auto"/>
      </w:divBdr>
    </w:div>
    <w:div w:id="780994285">
      <w:bodyDiv w:val="1"/>
      <w:marLeft w:val="0"/>
      <w:marRight w:val="0"/>
      <w:marTop w:val="0"/>
      <w:marBottom w:val="0"/>
      <w:divBdr>
        <w:top w:val="none" w:sz="0" w:space="0" w:color="auto"/>
        <w:left w:val="none" w:sz="0" w:space="0" w:color="auto"/>
        <w:bottom w:val="none" w:sz="0" w:space="0" w:color="auto"/>
        <w:right w:val="none" w:sz="0" w:space="0" w:color="auto"/>
      </w:divBdr>
    </w:div>
    <w:div w:id="808785821">
      <w:bodyDiv w:val="1"/>
      <w:marLeft w:val="0"/>
      <w:marRight w:val="0"/>
      <w:marTop w:val="0"/>
      <w:marBottom w:val="0"/>
      <w:divBdr>
        <w:top w:val="none" w:sz="0" w:space="0" w:color="auto"/>
        <w:left w:val="none" w:sz="0" w:space="0" w:color="auto"/>
        <w:bottom w:val="none" w:sz="0" w:space="0" w:color="auto"/>
        <w:right w:val="none" w:sz="0" w:space="0" w:color="auto"/>
      </w:divBdr>
    </w:div>
    <w:div w:id="818838002">
      <w:bodyDiv w:val="1"/>
      <w:marLeft w:val="0"/>
      <w:marRight w:val="0"/>
      <w:marTop w:val="0"/>
      <w:marBottom w:val="0"/>
      <w:divBdr>
        <w:top w:val="none" w:sz="0" w:space="0" w:color="auto"/>
        <w:left w:val="none" w:sz="0" w:space="0" w:color="auto"/>
        <w:bottom w:val="none" w:sz="0" w:space="0" w:color="auto"/>
        <w:right w:val="none" w:sz="0" w:space="0" w:color="auto"/>
      </w:divBdr>
    </w:div>
    <w:div w:id="834994672">
      <w:bodyDiv w:val="1"/>
      <w:marLeft w:val="0"/>
      <w:marRight w:val="0"/>
      <w:marTop w:val="0"/>
      <w:marBottom w:val="0"/>
      <w:divBdr>
        <w:top w:val="none" w:sz="0" w:space="0" w:color="auto"/>
        <w:left w:val="none" w:sz="0" w:space="0" w:color="auto"/>
        <w:bottom w:val="none" w:sz="0" w:space="0" w:color="auto"/>
        <w:right w:val="none" w:sz="0" w:space="0" w:color="auto"/>
      </w:divBdr>
    </w:div>
    <w:div w:id="846288433">
      <w:bodyDiv w:val="1"/>
      <w:marLeft w:val="0"/>
      <w:marRight w:val="0"/>
      <w:marTop w:val="0"/>
      <w:marBottom w:val="0"/>
      <w:divBdr>
        <w:top w:val="none" w:sz="0" w:space="0" w:color="auto"/>
        <w:left w:val="none" w:sz="0" w:space="0" w:color="auto"/>
        <w:bottom w:val="none" w:sz="0" w:space="0" w:color="auto"/>
        <w:right w:val="none" w:sz="0" w:space="0" w:color="auto"/>
      </w:divBdr>
    </w:div>
    <w:div w:id="850218055">
      <w:bodyDiv w:val="1"/>
      <w:marLeft w:val="0"/>
      <w:marRight w:val="0"/>
      <w:marTop w:val="0"/>
      <w:marBottom w:val="0"/>
      <w:divBdr>
        <w:top w:val="none" w:sz="0" w:space="0" w:color="auto"/>
        <w:left w:val="none" w:sz="0" w:space="0" w:color="auto"/>
        <w:bottom w:val="none" w:sz="0" w:space="0" w:color="auto"/>
        <w:right w:val="none" w:sz="0" w:space="0" w:color="auto"/>
      </w:divBdr>
    </w:div>
    <w:div w:id="851382624">
      <w:bodyDiv w:val="1"/>
      <w:marLeft w:val="0"/>
      <w:marRight w:val="0"/>
      <w:marTop w:val="0"/>
      <w:marBottom w:val="0"/>
      <w:divBdr>
        <w:top w:val="none" w:sz="0" w:space="0" w:color="auto"/>
        <w:left w:val="none" w:sz="0" w:space="0" w:color="auto"/>
        <w:bottom w:val="none" w:sz="0" w:space="0" w:color="auto"/>
        <w:right w:val="none" w:sz="0" w:space="0" w:color="auto"/>
      </w:divBdr>
    </w:div>
    <w:div w:id="890582166">
      <w:bodyDiv w:val="1"/>
      <w:marLeft w:val="0"/>
      <w:marRight w:val="0"/>
      <w:marTop w:val="0"/>
      <w:marBottom w:val="0"/>
      <w:divBdr>
        <w:top w:val="none" w:sz="0" w:space="0" w:color="auto"/>
        <w:left w:val="none" w:sz="0" w:space="0" w:color="auto"/>
        <w:bottom w:val="none" w:sz="0" w:space="0" w:color="auto"/>
        <w:right w:val="none" w:sz="0" w:space="0" w:color="auto"/>
      </w:divBdr>
    </w:div>
    <w:div w:id="949583193">
      <w:bodyDiv w:val="1"/>
      <w:marLeft w:val="0"/>
      <w:marRight w:val="0"/>
      <w:marTop w:val="0"/>
      <w:marBottom w:val="0"/>
      <w:divBdr>
        <w:top w:val="none" w:sz="0" w:space="0" w:color="auto"/>
        <w:left w:val="none" w:sz="0" w:space="0" w:color="auto"/>
        <w:bottom w:val="none" w:sz="0" w:space="0" w:color="auto"/>
        <w:right w:val="none" w:sz="0" w:space="0" w:color="auto"/>
      </w:divBdr>
    </w:div>
    <w:div w:id="959192831">
      <w:bodyDiv w:val="1"/>
      <w:marLeft w:val="0"/>
      <w:marRight w:val="0"/>
      <w:marTop w:val="0"/>
      <w:marBottom w:val="0"/>
      <w:divBdr>
        <w:top w:val="none" w:sz="0" w:space="0" w:color="auto"/>
        <w:left w:val="none" w:sz="0" w:space="0" w:color="auto"/>
        <w:bottom w:val="none" w:sz="0" w:space="0" w:color="auto"/>
        <w:right w:val="none" w:sz="0" w:space="0" w:color="auto"/>
      </w:divBdr>
    </w:div>
    <w:div w:id="971984457">
      <w:bodyDiv w:val="1"/>
      <w:marLeft w:val="0"/>
      <w:marRight w:val="0"/>
      <w:marTop w:val="0"/>
      <w:marBottom w:val="0"/>
      <w:divBdr>
        <w:top w:val="none" w:sz="0" w:space="0" w:color="auto"/>
        <w:left w:val="none" w:sz="0" w:space="0" w:color="auto"/>
        <w:bottom w:val="none" w:sz="0" w:space="0" w:color="auto"/>
        <w:right w:val="none" w:sz="0" w:space="0" w:color="auto"/>
      </w:divBdr>
    </w:div>
    <w:div w:id="1005863890">
      <w:bodyDiv w:val="1"/>
      <w:marLeft w:val="0"/>
      <w:marRight w:val="0"/>
      <w:marTop w:val="0"/>
      <w:marBottom w:val="0"/>
      <w:divBdr>
        <w:top w:val="none" w:sz="0" w:space="0" w:color="auto"/>
        <w:left w:val="none" w:sz="0" w:space="0" w:color="auto"/>
        <w:bottom w:val="none" w:sz="0" w:space="0" w:color="auto"/>
        <w:right w:val="none" w:sz="0" w:space="0" w:color="auto"/>
      </w:divBdr>
    </w:div>
    <w:div w:id="1011105621">
      <w:bodyDiv w:val="1"/>
      <w:marLeft w:val="0"/>
      <w:marRight w:val="0"/>
      <w:marTop w:val="0"/>
      <w:marBottom w:val="0"/>
      <w:divBdr>
        <w:top w:val="none" w:sz="0" w:space="0" w:color="auto"/>
        <w:left w:val="none" w:sz="0" w:space="0" w:color="auto"/>
        <w:bottom w:val="none" w:sz="0" w:space="0" w:color="auto"/>
        <w:right w:val="none" w:sz="0" w:space="0" w:color="auto"/>
      </w:divBdr>
    </w:div>
    <w:div w:id="1029838641">
      <w:bodyDiv w:val="1"/>
      <w:marLeft w:val="0"/>
      <w:marRight w:val="0"/>
      <w:marTop w:val="0"/>
      <w:marBottom w:val="0"/>
      <w:divBdr>
        <w:top w:val="none" w:sz="0" w:space="0" w:color="auto"/>
        <w:left w:val="none" w:sz="0" w:space="0" w:color="auto"/>
        <w:bottom w:val="none" w:sz="0" w:space="0" w:color="auto"/>
        <w:right w:val="none" w:sz="0" w:space="0" w:color="auto"/>
      </w:divBdr>
    </w:div>
    <w:div w:id="1057558303">
      <w:bodyDiv w:val="1"/>
      <w:marLeft w:val="0"/>
      <w:marRight w:val="0"/>
      <w:marTop w:val="0"/>
      <w:marBottom w:val="0"/>
      <w:divBdr>
        <w:top w:val="none" w:sz="0" w:space="0" w:color="auto"/>
        <w:left w:val="none" w:sz="0" w:space="0" w:color="auto"/>
        <w:bottom w:val="none" w:sz="0" w:space="0" w:color="auto"/>
        <w:right w:val="none" w:sz="0" w:space="0" w:color="auto"/>
      </w:divBdr>
    </w:div>
    <w:div w:id="1059939461">
      <w:bodyDiv w:val="1"/>
      <w:marLeft w:val="0"/>
      <w:marRight w:val="0"/>
      <w:marTop w:val="0"/>
      <w:marBottom w:val="0"/>
      <w:divBdr>
        <w:top w:val="none" w:sz="0" w:space="0" w:color="auto"/>
        <w:left w:val="none" w:sz="0" w:space="0" w:color="auto"/>
        <w:bottom w:val="none" w:sz="0" w:space="0" w:color="auto"/>
        <w:right w:val="none" w:sz="0" w:space="0" w:color="auto"/>
      </w:divBdr>
    </w:div>
    <w:div w:id="1062558553">
      <w:bodyDiv w:val="1"/>
      <w:marLeft w:val="0"/>
      <w:marRight w:val="0"/>
      <w:marTop w:val="0"/>
      <w:marBottom w:val="0"/>
      <w:divBdr>
        <w:top w:val="none" w:sz="0" w:space="0" w:color="auto"/>
        <w:left w:val="none" w:sz="0" w:space="0" w:color="auto"/>
        <w:bottom w:val="none" w:sz="0" w:space="0" w:color="auto"/>
        <w:right w:val="none" w:sz="0" w:space="0" w:color="auto"/>
      </w:divBdr>
    </w:div>
    <w:div w:id="1068309571">
      <w:bodyDiv w:val="1"/>
      <w:marLeft w:val="0"/>
      <w:marRight w:val="0"/>
      <w:marTop w:val="0"/>
      <w:marBottom w:val="0"/>
      <w:divBdr>
        <w:top w:val="none" w:sz="0" w:space="0" w:color="auto"/>
        <w:left w:val="none" w:sz="0" w:space="0" w:color="auto"/>
        <w:bottom w:val="none" w:sz="0" w:space="0" w:color="auto"/>
        <w:right w:val="none" w:sz="0" w:space="0" w:color="auto"/>
      </w:divBdr>
    </w:div>
    <w:div w:id="1077357660">
      <w:bodyDiv w:val="1"/>
      <w:marLeft w:val="0"/>
      <w:marRight w:val="0"/>
      <w:marTop w:val="0"/>
      <w:marBottom w:val="0"/>
      <w:divBdr>
        <w:top w:val="none" w:sz="0" w:space="0" w:color="auto"/>
        <w:left w:val="none" w:sz="0" w:space="0" w:color="auto"/>
        <w:bottom w:val="none" w:sz="0" w:space="0" w:color="auto"/>
        <w:right w:val="none" w:sz="0" w:space="0" w:color="auto"/>
      </w:divBdr>
    </w:div>
    <w:div w:id="1103645212">
      <w:bodyDiv w:val="1"/>
      <w:marLeft w:val="0"/>
      <w:marRight w:val="0"/>
      <w:marTop w:val="0"/>
      <w:marBottom w:val="0"/>
      <w:divBdr>
        <w:top w:val="none" w:sz="0" w:space="0" w:color="auto"/>
        <w:left w:val="none" w:sz="0" w:space="0" w:color="auto"/>
        <w:bottom w:val="none" w:sz="0" w:space="0" w:color="auto"/>
        <w:right w:val="none" w:sz="0" w:space="0" w:color="auto"/>
      </w:divBdr>
    </w:div>
    <w:div w:id="1104111533">
      <w:bodyDiv w:val="1"/>
      <w:marLeft w:val="0"/>
      <w:marRight w:val="0"/>
      <w:marTop w:val="0"/>
      <w:marBottom w:val="0"/>
      <w:divBdr>
        <w:top w:val="none" w:sz="0" w:space="0" w:color="auto"/>
        <w:left w:val="none" w:sz="0" w:space="0" w:color="auto"/>
        <w:bottom w:val="none" w:sz="0" w:space="0" w:color="auto"/>
        <w:right w:val="none" w:sz="0" w:space="0" w:color="auto"/>
      </w:divBdr>
    </w:div>
    <w:div w:id="1128739081">
      <w:bodyDiv w:val="1"/>
      <w:marLeft w:val="0"/>
      <w:marRight w:val="0"/>
      <w:marTop w:val="0"/>
      <w:marBottom w:val="0"/>
      <w:divBdr>
        <w:top w:val="none" w:sz="0" w:space="0" w:color="auto"/>
        <w:left w:val="none" w:sz="0" w:space="0" w:color="auto"/>
        <w:bottom w:val="none" w:sz="0" w:space="0" w:color="auto"/>
        <w:right w:val="none" w:sz="0" w:space="0" w:color="auto"/>
      </w:divBdr>
    </w:div>
    <w:div w:id="1132820759">
      <w:bodyDiv w:val="1"/>
      <w:marLeft w:val="0"/>
      <w:marRight w:val="0"/>
      <w:marTop w:val="0"/>
      <w:marBottom w:val="0"/>
      <w:divBdr>
        <w:top w:val="none" w:sz="0" w:space="0" w:color="auto"/>
        <w:left w:val="none" w:sz="0" w:space="0" w:color="auto"/>
        <w:bottom w:val="none" w:sz="0" w:space="0" w:color="auto"/>
        <w:right w:val="none" w:sz="0" w:space="0" w:color="auto"/>
      </w:divBdr>
    </w:div>
    <w:div w:id="1147672411">
      <w:bodyDiv w:val="1"/>
      <w:marLeft w:val="0"/>
      <w:marRight w:val="0"/>
      <w:marTop w:val="0"/>
      <w:marBottom w:val="0"/>
      <w:divBdr>
        <w:top w:val="none" w:sz="0" w:space="0" w:color="auto"/>
        <w:left w:val="none" w:sz="0" w:space="0" w:color="auto"/>
        <w:bottom w:val="none" w:sz="0" w:space="0" w:color="auto"/>
        <w:right w:val="none" w:sz="0" w:space="0" w:color="auto"/>
      </w:divBdr>
    </w:div>
    <w:div w:id="1162742371">
      <w:bodyDiv w:val="1"/>
      <w:marLeft w:val="0"/>
      <w:marRight w:val="0"/>
      <w:marTop w:val="0"/>
      <w:marBottom w:val="0"/>
      <w:divBdr>
        <w:top w:val="none" w:sz="0" w:space="0" w:color="auto"/>
        <w:left w:val="none" w:sz="0" w:space="0" w:color="auto"/>
        <w:bottom w:val="none" w:sz="0" w:space="0" w:color="auto"/>
        <w:right w:val="none" w:sz="0" w:space="0" w:color="auto"/>
      </w:divBdr>
    </w:div>
    <w:div w:id="1164013610">
      <w:bodyDiv w:val="1"/>
      <w:marLeft w:val="0"/>
      <w:marRight w:val="0"/>
      <w:marTop w:val="0"/>
      <w:marBottom w:val="0"/>
      <w:divBdr>
        <w:top w:val="none" w:sz="0" w:space="0" w:color="auto"/>
        <w:left w:val="none" w:sz="0" w:space="0" w:color="auto"/>
        <w:bottom w:val="none" w:sz="0" w:space="0" w:color="auto"/>
        <w:right w:val="none" w:sz="0" w:space="0" w:color="auto"/>
      </w:divBdr>
    </w:div>
    <w:div w:id="1180924929">
      <w:bodyDiv w:val="1"/>
      <w:marLeft w:val="0"/>
      <w:marRight w:val="0"/>
      <w:marTop w:val="0"/>
      <w:marBottom w:val="0"/>
      <w:divBdr>
        <w:top w:val="none" w:sz="0" w:space="0" w:color="auto"/>
        <w:left w:val="none" w:sz="0" w:space="0" w:color="auto"/>
        <w:bottom w:val="none" w:sz="0" w:space="0" w:color="auto"/>
        <w:right w:val="none" w:sz="0" w:space="0" w:color="auto"/>
      </w:divBdr>
    </w:div>
    <w:div w:id="1186481734">
      <w:bodyDiv w:val="1"/>
      <w:marLeft w:val="0"/>
      <w:marRight w:val="0"/>
      <w:marTop w:val="0"/>
      <w:marBottom w:val="0"/>
      <w:divBdr>
        <w:top w:val="none" w:sz="0" w:space="0" w:color="auto"/>
        <w:left w:val="none" w:sz="0" w:space="0" w:color="auto"/>
        <w:bottom w:val="none" w:sz="0" w:space="0" w:color="auto"/>
        <w:right w:val="none" w:sz="0" w:space="0" w:color="auto"/>
      </w:divBdr>
    </w:div>
    <w:div w:id="1199464975">
      <w:bodyDiv w:val="1"/>
      <w:marLeft w:val="0"/>
      <w:marRight w:val="0"/>
      <w:marTop w:val="0"/>
      <w:marBottom w:val="0"/>
      <w:divBdr>
        <w:top w:val="none" w:sz="0" w:space="0" w:color="auto"/>
        <w:left w:val="none" w:sz="0" w:space="0" w:color="auto"/>
        <w:bottom w:val="none" w:sz="0" w:space="0" w:color="auto"/>
        <w:right w:val="none" w:sz="0" w:space="0" w:color="auto"/>
      </w:divBdr>
    </w:div>
    <w:div w:id="1203903562">
      <w:bodyDiv w:val="1"/>
      <w:marLeft w:val="0"/>
      <w:marRight w:val="0"/>
      <w:marTop w:val="0"/>
      <w:marBottom w:val="0"/>
      <w:divBdr>
        <w:top w:val="none" w:sz="0" w:space="0" w:color="auto"/>
        <w:left w:val="none" w:sz="0" w:space="0" w:color="auto"/>
        <w:bottom w:val="none" w:sz="0" w:space="0" w:color="auto"/>
        <w:right w:val="none" w:sz="0" w:space="0" w:color="auto"/>
      </w:divBdr>
    </w:div>
    <w:div w:id="1205293300">
      <w:bodyDiv w:val="1"/>
      <w:marLeft w:val="0"/>
      <w:marRight w:val="0"/>
      <w:marTop w:val="0"/>
      <w:marBottom w:val="0"/>
      <w:divBdr>
        <w:top w:val="none" w:sz="0" w:space="0" w:color="auto"/>
        <w:left w:val="none" w:sz="0" w:space="0" w:color="auto"/>
        <w:bottom w:val="none" w:sz="0" w:space="0" w:color="auto"/>
        <w:right w:val="none" w:sz="0" w:space="0" w:color="auto"/>
      </w:divBdr>
    </w:div>
    <w:div w:id="1211966234">
      <w:bodyDiv w:val="1"/>
      <w:marLeft w:val="0"/>
      <w:marRight w:val="0"/>
      <w:marTop w:val="0"/>
      <w:marBottom w:val="0"/>
      <w:divBdr>
        <w:top w:val="none" w:sz="0" w:space="0" w:color="auto"/>
        <w:left w:val="none" w:sz="0" w:space="0" w:color="auto"/>
        <w:bottom w:val="none" w:sz="0" w:space="0" w:color="auto"/>
        <w:right w:val="none" w:sz="0" w:space="0" w:color="auto"/>
      </w:divBdr>
    </w:div>
    <w:div w:id="1218083708">
      <w:bodyDiv w:val="1"/>
      <w:marLeft w:val="0"/>
      <w:marRight w:val="0"/>
      <w:marTop w:val="0"/>
      <w:marBottom w:val="0"/>
      <w:divBdr>
        <w:top w:val="none" w:sz="0" w:space="0" w:color="auto"/>
        <w:left w:val="none" w:sz="0" w:space="0" w:color="auto"/>
        <w:bottom w:val="none" w:sz="0" w:space="0" w:color="auto"/>
        <w:right w:val="none" w:sz="0" w:space="0" w:color="auto"/>
      </w:divBdr>
    </w:div>
    <w:div w:id="1220288490">
      <w:bodyDiv w:val="1"/>
      <w:marLeft w:val="0"/>
      <w:marRight w:val="0"/>
      <w:marTop w:val="0"/>
      <w:marBottom w:val="0"/>
      <w:divBdr>
        <w:top w:val="none" w:sz="0" w:space="0" w:color="auto"/>
        <w:left w:val="none" w:sz="0" w:space="0" w:color="auto"/>
        <w:bottom w:val="none" w:sz="0" w:space="0" w:color="auto"/>
        <w:right w:val="none" w:sz="0" w:space="0" w:color="auto"/>
      </w:divBdr>
    </w:div>
    <w:div w:id="1227111107">
      <w:bodyDiv w:val="1"/>
      <w:marLeft w:val="0"/>
      <w:marRight w:val="0"/>
      <w:marTop w:val="0"/>
      <w:marBottom w:val="0"/>
      <w:divBdr>
        <w:top w:val="none" w:sz="0" w:space="0" w:color="auto"/>
        <w:left w:val="none" w:sz="0" w:space="0" w:color="auto"/>
        <w:bottom w:val="none" w:sz="0" w:space="0" w:color="auto"/>
        <w:right w:val="none" w:sz="0" w:space="0" w:color="auto"/>
      </w:divBdr>
    </w:div>
    <w:div w:id="1227842436">
      <w:bodyDiv w:val="1"/>
      <w:marLeft w:val="0"/>
      <w:marRight w:val="0"/>
      <w:marTop w:val="0"/>
      <w:marBottom w:val="0"/>
      <w:divBdr>
        <w:top w:val="none" w:sz="0" w:space="0" w:color="auto"/>
        <w:left w:val="none" w:sz="0" w:space="0" w:color="auto"/>
        <w:bottom w:val="none" w:sz="0" w:space="0" w:color="auto"/>
        <w:right w:val="none" w:sz="0" w:space="0" w:color="auto"/>
      </w:divBdr>
    </w:div>
    <w:div w:id="1228564489">
      <w:bodyDiv w:val="1"/>
      <w:marLeft w:val="0"/>
      <w:marRight w:val="0"/>
      <w:marTop w:val="0"/>
      <w:marBottom w:val="0"/>
      <w:divBdr>
        <w:top w:val="none" w:sz="0" w:space="0" w:color="auto"/>
        <w:left w:val="none" w:sz="0" w:space="0" w:color="auto"/>
        <w:bottom w:val="none" w:sz="0" w:space="0" w:color="auto"/>
        <w:right w:val="none" w:sz="0" w:space="0" w:color="auto"/>
      </w:divBdr>
    </w:div>
    <w:div w:id="1235822374">
      <w:bodyDiv w:val="1"/>
      <w:marLeft w:val="0"/>
      <w:marRight w:val="0"/>
      <w:marTop w:val="0"/>
      <w:marBottom w:val="0"/>
      <w:divBdr>
        <w:top w:val="none" w:sz="0" w:space="0" w:color="auto"/>
        <w:left w:val="none" w:sz="0" w:space="0" w:color="auto"/>
        <w:bottom w:val="none" w:sz="0" w:space="0" w:color="auto"/>
        <w:right w:val="none" w:sz="0" w:space="0" w:color="auto"/>
      </w:divBdr>
    </w:div>
    <w:div w:id="1240096706">
      <w:bodyDiv w:val="1"/>
      <w:marLeft w:val="0"/>
      <w:marRight w:val="0"/>
      <w:marTop w:val="0"/>
      <w:marBottom w:val="0"/>
      <w:divBdr>
        <w:top w:val="none" w:sz="0" w:space="0" w:color="auto"/>
        <w:left w:val="none" w:sz="0" w:space="0" w:color="auto"/>
        <w:bottom w:val="none" w:sz="0" w:space="0" w:color="auto"/>
        <w:right w:val="none" w:sz="0" w:space="0" w:color="auto"/>
      </w:divBdr>
      <w:divsChild>
        <w:div w:id="50157493">
          <w:marLeft w:val="0"/>
          <w:marRight w:val="0"/>
          <w:marTop w:val="0"/>
          <w:marBottom w:val="0"/>
          <w:divBdr>
            <w:top w:val="none" w:sz="0" w:space="0" w:color="auto"/>
            <w:left w:val="none" w:sz="0" w:space="0" w:color="auto"/>
            <w:bottom w:val="none" w:sz="0" w:space="0" w:color="auto"/>
            <w:right w:val="none" w:sz="0" w:space="0" w:color="auto"/>
          </w:divBdr>
          <w:divsChild>
            <w:div w:id="229194573">
              <w:marLeft w:val="0"/>
              <w:marRight w:val="0"/>
              <w:marTop w:val="0"/>
              <w:marBottom w:val="0"/>
              <w:divBdr>
                <w:top w:val="none" w:sz="0" w:space="0" w:color="auto"/>
                <w:left w:val="none" w:sz="0" w:space="0" w:color="auto"/>
                <w:bottom w:val="none" w:sz="0" w:space="0" w:color="auto"/>
                <w:right w:val="none" w:sz="0" w:space="0" w:color="auto"/>
              </w:divBdr>
              <w:divsChild>
                <w:div w:id="664210727">
                  <w:marLeft w:val="0"/>
                  <w:marRight w:val="0"/>
                  <w:marTop w:val="0"/>
                  <w:marBottom w:val="0"/>
                  <w:divBdr>
                    <w:top w:val="none" w:sz="0" w:space="0" w:color="auto"/>
                    <w:left w:val="none" w:sz="0" w:space="0" w:color="auto"/>
                    <w:bottom w:val="none" w:sz="0" w:space="0" w:color="auto"/>
                    <w:right w:val="none" w:sz="0" w:space="0" w:color="auto"/>
                  </w:divBdr>
                  <w:divsChild>
                    <w:div w:id="162667032">
                      <w:marLeft w:val="0"/>
                      <w:marRight w:val="0"/>
                      <w:marTop w:val="0"/>
                      <w:marBottom w:val="0"/>
                      <w:divBdr>
                        <w:top w:val="none" w:sz="0" w:space="0" w:color="auto"/>
                        <w:left w:val="none" w:sz="0" w:space="0" w:color="auto"/>
                        <w:bottom w:val="none" w:sz="0" w:space="0" w:color="auto"/>
                        <w:right w:val="none" w:sz="0" w:space="0" w:color="auto"/>
                      </w:divBdr>
                      <w:divsChild>
                        <w:div w:id="1051265925">
                          <w:marLeft w:val="0"/>
                          <w:marRight w:val="0"/>
                          <w:marTop w:val="0"/>
                          <w:marBottom w:val="0"/>
                          <w:divBdr>
                            <w:top w:val="none" w:sz="0" w:space="0" w:color="auto"/>
                            <w:left w:val="none" w:sz="0" w:space="0" w:color="auto"/>
                            <w:bottom w:val="none" w:sz="0" w:space="0" w:color="auto"/>
                            <w:right w:val="none" w:sz="0" w:space="0" w:color="auto"/>
                          </w:divBdr>
                          <w:divsChild>
                            <w:div w:id="175580801">
                              <w:marLeft w:val="0"/>
                              <w:marRight w:val="0"/>
                              <w:marTop w:val="0"/>
                              <w:marBottom w:val="0"/>
                              <w:divBdr>
                                <w:top w:val="none" w:sz="0" w:space="0" w:color="auto"/>
                                <w:left w:val="none" w:sz="0" w:space="0" w:color="auto"/>
                                <w:bottom w:val="none" w:sz="0" w:space="0" w:color="auto"/>
                                <w:right w:val="none" w:sz="0" w:space="0" w:color="auto"/>
                              </w:divBdr>
                              <w:divsChild>
                                <w:div w:id="281348170">
                                  <w:marLeft w:val="0"/>
                                  <w:marRight w:val="0"/>
                                  <w:marTop w:val="0"/>
                                  <w:marBottom w:val="0"/>
                                  <w:divBdr>
                                    <w:top w:val="none" w:sz="0" w:space="0" w:color="auto"/>
                                    <w:left w:val="none" w:sz="0" w:space="0" w:color="auto"/>
                                    <w:bottom w:val="none" w:sz="0" w:space="0" w:color="auto"/>
                                    <w:right w:val="none" w:sz="0" w:space="0" w:color="auto"/>
                                  </w:divBdr>
                                  <w:divsChild>
                                    <w:div w:id="3632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946793">
      <w:bodyDiv w:val="1"/>
      <w:marLeft w:val="0"/>
      <w:marRight w:val="0"/>
      <w:marTop w:val="0"/>
      <w:marBottom w:val="0"/>
      <w:divBdr>
        <w:top w:val="none" w:sz="0" w:space="0" w:color="auto"/>
        <w:left w:val="none" w:sz="0" w:space="0" w:color="auto"/>
        <w:bottom w:val="none" w:sz="0" w:space="0" w:color="auto"/>
        <w:right w:val="none" w:sz="0" w:space="0" w:color="auto"/>
      </w:divBdr>
    </w:div>
    <w:div w:id="1254164343">
      <w:bodyDiv w:val="1"/>
      <w:marLeft w:val="0"/>
      <w:marRight w:val="0"/>
      <w:marTop w:val="0"/>
      <w:marBottom w:val="0"/>
      <w:divBdr>
        <w:top w:val="none" w:sz="0" w:space="0" w:color="auto"/>
        <w:left w:val="none" w:sz="0" w:space="0" w:color="auto"/>
        <w:bottom w:val="none" w:sz="0" w:space="0" w:color="auto"/>
        <w:right w:val="none" w:sz="0" w:space="0" w:color="auto"/>
      </w:divBdr>
    </w:div>
    <w:div w:id="1255357441">
      <w:bodyDiv w:val="1"/>
      <w:marLeft w:val="0"/>
      <w:marRight w:val="0"/>
      <w:marTop w:val="0"/>
      <w:marBottom w:val="0"/>
      <w:divBdr>
        <w:top w:val="none" w:sz="0" w:space="0" w:color="auto"/>
        <w:left w:val="none" w:sz="0" w:space="0" w:color="auto"/>
        <w:bottom w:val="none" w:sz="0" w:space="0" w:color="auto"/>
        <w:right w:val="none" w:sz="0" w:space="0" w:color="auto"/>
      </w:divBdr>
    </w:div>
    <w:div w:id="1272975183">
      <w:bodyDiv w:val="1"/>
      <w:marLeft w:val="0"/>
      <w:marRight w:val="0"/>
      <w:marTop w:val="0"/>
      <w:marBottom w:val="0"/>
      <w:divBdr>
        <w:top w:val="none" w:sz="0" w:space="0" w:color="auto"/>
        <w:left w:val="none" w:sz="0" w:space="0" w:color="auto"/>
        <w:bottom w:val="none" w:sz="0" w:space="0" w:color="auto"/>
        <w:right w:val="none" w:sz="0" w:space="0" w:color="auto"/>
      </w:divBdr>
    </w:div>
    <w:div w:id="1278175070">
      <w:bodyDiv w:val="1"/>
      <w:marLeft w:val="0"/>
      <w:marRight w:val="0"/>
      <w:marTop w:val="0"/>
      <w:marBottom w:val="0"/>
      <w:divBdr>
        <w:top w:val="none" w:sz="0" w:space="0" w:color="auto"/>
        <w:left w:val="none" w:sz="0" w:space="0" w:color="auto"/>
        <w:bottom w:val="none" w:sz="0" w:space="0" w:color="auto"/>
        <w:right w:val="none" w:sz="0" w:space="0" w:color="auto"/>
      </w:divBdr>
    </w:div>
    <w:div w:id="1289160511">
      <w:bodyDiv w:val="1"/>
      <w:marLeft w:val="0"/>
      <w:marRight w:val="0"/>
      <w:marTop w:val="0"/>
      <w:marBottom w:val="0"/>
      <w:divBdr>
        <w:top w:val="none" w:sz="0" w:space="0" w:color="auto"/>
        <w:left w:val="none" w:sz="0" w:space="0" w:color="auto"/>
        <w:bottom w:val="none" w:sz="0" w:space="0" w:color="auto"/>
        <w:right w:val="none" w:sz="0" w:space="0" w:color="auto"/>
      </w:divBdr>
    </w:div>
    <w:div w:id="1299795938">
      <w:bodyDiv w:val="1"/>
      <w:marLeft w:val="0"/>
      <w:marRight w:val="0"/>
      <w:marTop w:val="0"/>
      <w:marBottom w:val="0"/>
      <w:divBdr>
        <w:top w:val="none" w:sz="0" w:space="0" w:color="auto"/>
        <w:left w:val="none" w:sz="0" w:space="0" w:color="auto"/>
        <w:bottom w:val="none" w:sz="0" w:space="0" w:color="auto"/>
        <w:right w:val="none" w:sz="0" w:space="0" w:color="auto"/>
      </w:divBdr>
    </w:div>
    <w:div w:id="1315840759">
      <w:bodyDiv w:val="1"/>
      <w:marLeft w:val="0"/>
      <w:marRight w:val="0"/>
      <w:marTop w:val="0"/>
      <w:marBottom w:val="0"/>
      <w:divBdr>
        <w:top w:val="none" w:sz="0" w:space="0" w:color="auto"/>
        <w:left w:val="none" w:sz="0" w:space="0" w:color="auto"/>
        <w:bottom w:val="none" w:sz="0" w:space="0" w:color="auto"/>
        <w:right w:val="none" w:sz="0" w:space="0" w:color="auto"/>
      </w:divBdr>
    </w:div>
    <w:div w:id="1320500091">
      <w:bodyDiv w:val="1"/>
      <w:marLeft w:val="0"/>
      <w:marRight w:val="0"/>
      <w:marTop w:val="0"/>
      <w:marBottom w:val="0"/>
      <w:divBdr>
        <w:top w:val="none" w:sz="0" w:space="0" w:color="auto"/>
        <w:left w:val="none" w:sz="0" w:space="0" w:color="auto"/>
        <w:bottom w:val="none" w:sz="0" w:space="0" w:color="auto"/>
        <w:right w:val="none" w:sz="0" w:space="0" w:color="auto"/>
      </w:divBdr>
    </w:div>
    <w:div w:id="1331372427">
      <w:bodyDiv w:val="1"/>
      <w:marLeft w:val="0"/>
      <w:marRight w:val="0"/>
      <w:marTop w:val="0"/>
      <w:marBottom w:val="0"/>
      <w:divBdr>
        <w:top w:val="none" w:sz="0" w:space="0" w:color="auto"/>
        <w:left w:val="none" w:sz="0" w:space="0" w:color="auto"/>
        <w:bottom w:val="none" w:sz="0" w:space="0" w:color="auto"/>
        <w:right w:val="none" w:sz="0" w:space="0" w:color="auto"/>
      </w:divBdr>
    </w:div>
    <w:div w:id="1334455189">
      <w:bodyDiv w:val="1"/>
      <w:marLeft w:val="0"/>
      <w:marRight w:val="0"/>
      <w:marTop w:val="0"/>
      <w:marBottom w:val="0"/>
      <w:divBdr>
        <w:top w:val="none" w:sz="0" w:space="0" w:color="auto"/>
        <w:left w:val="none" w:sz="0" w:space="0" w:color="auto"/>
        <w:bottom w:val="none" w:sz="0" w:space="0" w:color="auto"/>
        <w:right w:val="none" w:sz="0" w:space="0" w:color="auto"/>
      </w:divBdr>
    </w:div>
    <w:div w:id="1342389511">
      <w:bodyDiv w:val="1"/>
      <w:marLeft w:val="0"/>
      <w:marRight w:val="0"/>
      <w:marTop w:val="0"/>
      <w:marBottom w:val="0"/>
      <w:divBdr>
        <w:top w:val="none" w:sz="0" w:space="0" w:color="auto"/>
        <w:left w:val="none" w:sz="0" w:space="0" w:color="auto"/>
        <w:bottom w:val="none" w:sz="0" w:space="0" w:color="auto"/>
        <w:right w:val="none" w:sz="0" w:space="0" w:color="auto"/>
      </w:divBdr>
    </w:div>
    <w:div w:id="1362709361">
      <w:bodyDiv w:val="1"/>
      <w:marLeft w:val="0"/>
      <w:marRight w:val="0"/>
      <w:marTop w:val="0"/>
      <w:marBottom w:val="0"/>
      <w:divBdr>
        <w:top w:val="none" w:sz="0" w:space="0" w:color="auto"/>
        <w:left w:val="none" w:sz="0" w:space="0" w:color="auto"/>
        <w:bottom w:val="none" w:sz="0" w:space="0" w:color="auto"/>
        <w:right w:val="none" w:sz="0" w:space="0" w:color="auto"/>
      </w:divBdr>
    </w:div>
    <w:div w:id="1371880311">
      <w:bodyDiv w:val="1"/>
      <w:marLeft w:val="0"/>
      <w:marRight w:val="0"/>
      <w:marTop w:val="0"/>
      <w:marBottom w:val="0"/>
      <w:divBdr>
        <w:top w:val="none" w:sz="0" w:space="0" w:color="auto"/>
        <w:left w:val="none" w:sz="0" w:space="0" w:color="auto"/>
        <w:bottom w:val="none" w:sz="0" w:space="0" w:color="auto"/>
        <w:right w:val="none" w:sz="0" w:space="0" w:color="auto"/>
      </w:divBdr>
    </w:div>
    <w:div w:id="1381713669">
      <w:bodyDiv w:val="1"/>
      <w:marLeft w:val="0"/>
      <w:marRight w:val="0"/>
      <w:marTop w:val="0"/>
      <w:marBottom w:val="0"/>
      <w:divBdr>
        <w:top w:val="none" w:sz="0" w:space="0" w:color="auto"/>
        <w:left w:val="none" w:sz="0" w:space="0" w:color="auto"/>
        <w:bottom w:val="none" w:sz="0" w:space="0" w:color="auto"/>
        <w:right w:val="none" w:sz="0" w:space="0" w:color="auto"/>
      </w:divBdr>
    </w:div>
    <w:div w:id="1399473969">
      <w:bodyDiv w:val="1"/>
      <w:marLeft w:val="0"/>
      <w:marRight w:val="0"/>
      <w:marTop w:val="0"/>
      <w:marBottom w:val="0"/>
      <w:divBdr>
        <w:top w:val="none" w:sz="0" w:space="0" w:color="auto"/>
        <w:left w:val="none" w:sz="0" w:space="0" w:color="auto"/>
        <w:bottom w:val="none" w:sz="0" w:space="0" w:color="auto"/>
        <w:right w:val="none" w:sz="0" w:space="0" w:color="auto"/>
      </w:divBdr>
    </w:div>
    <w:div w:id="1411465657">
      <w:bodyDiv w:val="1"/>
      <w:marLeft w:val="0"/>
      <w:marRight w:val="0"/>
      <w:marTop w:val="0"/>
      <w:marBottom w:val="0"/>
      <w:divBdr>
        <w:top w:val="none" w:sz="0" w:space="0" w:color="auto"/>
        <w:left w:val="none" w:sz="0" w:space="0" w:color="auto"/>
        <w:bottom w:val="none" w:sz="0" w:space="0" w:color="auto"/>
        <w:right w:val="none" w:sz="0" w:space="0" w:color="auto"/>
      </w:divBdr>
    </w:div>
    <w:div w:id="1411999543">
      <w:bodyDiv w:val="1"/>
      <w:marLeft w:val="0"/>
      <w:marRight w:val="0"/>
      <w:marTop w:val="0"/>
      <w:marBottom w:val="0"/>
      <w:divBdr>
        <w:top w:val="none" w:sz="0" w:space="0" w:color="auto"/>
        <w:left w:val="none" w:sz="0" w:space="0" w:color="auto"/>
        <w:bottom w:val="none" w:sz="0" w:space="0" w:color="auto"/>
        <w:right w:val="none" w:sz="0" w:space="0" w:color="auto"/>
      </w:divBdr>
    </w:div>
    <w:div w:id="1415200862">
      <w:bodyDiv w:val="1"/>
      <w:marLeft w:val="0"/>
      <w:marRight w:val="0"/>
      <w:marTop w:val="0"/>
      <w:marBottom w:val="0"/>
      <w:divBdr>
        <w:top w:val="none" w:sz="0" w:space="0" w:color="auto"/>
        <w:left w:val="none" w:sz="0" w:space="0" w:color="auto"/>
        <w:bottom w:val="none" w:sz="0" w:space="0" w:color="auto"/>
        <w:right w:val="none" w:sz="0" w:space="0" w:color="auto"/>
      </w:divBdr>
    </w:div>
    <w:div w:id="1421104195">
      <w:bodyDiv w:val="1"/>
      <w:marLeft w:val="0"/>
      <w:marRight w:val="0"/>
      <w:marTop w:val="0"/>
      <w:marBottom w:val="0"/>
      <w:divBdr>
        <w:top w:val="none" w:sz="0" w:space="0" w:color="auto"/>
        <w:left w:val="none" w:sz="0" w:space="0" w:color="auto"/>
        <w:bottom w:val="none" w:sz="0" w:space="0" w:color="auto"/>
        <w:right w:val="none" w:sz="0" w:space="0" w:color="auto"/>
      </w:divBdr>
    </w:div>
    <w:div w:id="1453590558">
      <w:bodyDiv w:val="1"/>
      <w:marLeft w:val="0"/>
      <w:marRight w:val="0"/>
      <w:marTop w:val="0"/>
      <w:marBottom w:val="0"/>
      <w:divBdr>
        <w:top w:val="none" w:sz="0" w:space="0" w:color="auto"/>
        <w:left w:val="none" w:sz="0" w:space="0" w:color="auto"/>
        <w:bottom w:val="none" w:sz="0" w:space="0" w:color="auto"/>
        <w:right w:val="none" w:sz="0" w:space="0" w:color="auto"/>
      </w:divBdr>
    </w:div>
    <w:div w:id="1464807287">
      <w:bodyDiv w:val="1"/>
      <w:marLeft w:val="0"/>
      <w:marRight w:val="0"/>
      <w:marTop w:val="0"/>
      <w:marBottom w:val="0"/>
      <w:divBdr>
        <w:top w:val="none" w:sz="0" w:space="0" w:color="auto"/>
        <w:left w:val="none" w:sz="0" w:space="0" w:color="auto"/>
        <w:bottom w:val="none" w:sz="0" w:space="0" w:color="auto"/>
        <w:right w:val="none" w:sz="0" w:space="0" w:color="auto"/>
      </w:divBdr>
    </w:div>
    <w:div w:id="1470174972">
      <w:bodyDiv w:val="1"/>
      <w:marLeft w:val="0"/>
      <w:marRight w:val="0"/>
      <w:marTop w:val="0"/>
      <w:marBottom w:val="0"/>
      <w:divBdr>
        <w:top w:val="none" w:sz="0" w:space="0" w:color="auto"/>
        <w:left w:val="none" w:sz="0" w:space="0" w:color="auto"/>
        <w:bottom w:val="none" w:sz="0" w:space="0" w:color="auto"/>
        <w:right w:val="none" w:sz="0" w:space="0" w:color="auto"/>
      </w:divBdr>
    </w:div>
    <w:div w:id="1471707101">
      <w:bodyDiv w:val="1"/>
      <w:marLeft w:val="0"/>
      <w:marRight w:val="0"/>
      <w:marTop w:val="0"/>
      <w:marBottom w:val="0"/>
      <w:divBdr>
        <w:top w:val="none" w:sz="0" w:space="0" w:color="auto"/>
        <w:left w:val="none" w:sz="0" w:space="0" w:color="auto"/>
        <w:bottom w:val="none" w:sz="0" w:space="0" w:color="auto"/>
        <w:right w:val="none" w:sz="0" w:space="0" w:color="auto"/>
      </w:divBdr>
    </w:div>
    <w:div w:id="1488937835">
      <w:bodyDiv w:val="1"/>
      <w:marLeft w:val="0"/>
      <w:marRight w:val="0"/>
      <w:marTop w:val="0"/>
      <w:marBottom w:val="0"/>
      <w:divBdr>
        <w:top w:val="none" w:sz="0" w:space="0" w:color="auto"/>
        <w:left w:val="none" w:sz="0" w:space="0" w:color="auto"/>
        <w:bottom w:val="none" w:sz="0" w:space="0" w:color="auto"/>
        <w:right w:val="none" w:sz="0" w:space="0" w:color="auto"/>
      </w:divBdr>
    </w:div>
    <w:div w:id="1503548953">
      <w:bodyDiv w:val="1"/>
      <w:marLeft w:val="0"/>
      <w:marRight w:val="0"/>
      <w:marTop w:val="0"/>
      <w:marBottom w:val="0"/>
      <w:divBdr>
        <w:top w:val="none" w:sz="0" w:space="0" w:color="auto"/>
        <w:left w:val="none" w:sz="0" w:space="0" w:color="auto"/>
        <w:bottom w:val="none" w:sz="0" w:space="0" w:color="auto"/>
        <w:right w:val="none" w:sz="0" w:space="0" w:color="auto"/>
      </w:divBdr>
    </w:div>
    <w:div w:id="1527714550">
      <w:bodyDiv w:val="1"/>
      <w:marLeft w:val="0"/>
      <w:marRight w:val="0"/>
      <w:marTop w:val="0"/>
      <w:marBottom w:val="0"/>
      <w:divBdr>
        <w:top w:val="none" w:sz="0" w:space="0" w:color="auto"/>
        <w:left w:val="none" w:sz="0" w:space="0" w:color="auto"/>
        <w:bottom w:val="none" w:sz="0" w:space="0" w:color="auto"/>
        <w:right w:val="none" w:sz="0" w:space="0" w:color="auto"/>
      </w:divBdr>
    </w:div>
    <w:div w:id="1534609261">
      <w:bodyDiv w:val="1"/>
      <w:marLeft w:val="0"/>
      <w:marRight w:val="0"/>
      <w:marTop w:val="0"/>
      <w:marBottom w:val="0"/>
      <w:divBdr>
        <w:top w:val="none" w:sz="0" w:space="0" w:color="auto"/>
        <w:left w:val="none" w:sz="0" w:space="0" w:color="auto"/>
        <w:bottom w:val="none" w:sz="0" w:space="0" w:color="auto"/>
        <w:right w:val="none" w:sz="0" w:space="0" w:color="auto"/>
      </w:divBdr>
    </w:div>
    <w:div w:id="1537961659">
      <w:bodyDiv w:val="1"/>
      <w:marLeft w:val="0"/>
      <w:marRight w:val="0"/>
      <w:marTop w:val="0"/>
      <w:marBottom w:val="0"/>
      <w:divBdr>
        <w:top w:val="none" w:sz="0" w:space="0" w:color="auto"/>
        <w:left w:val="none" w:sz="0" w:space="0" w:color="auto"/>
        <w:bottom w:val="none" w:sz="0" w:space="0" w:color="auto"/>
        <w:right w:val="none" w:sz="0" w:space="0" w:color="auto"/>
      </w:divBdr>
    </w:div>
    <w:div w:id="1545481130">
      <w:bodyDiv w:val="1"/>
      <w:marLeft w:val="0"/>
      <w:marRight w:val="0"/>
      <w:marTop w:val="0"/>
      <w:marBottom w:val="0"/>
      <w:divBdr>
        <w:top w:val="none" w:sz="0" w:space="0" w:color="auto"/>
        <w:left w:val="none" w:sz="0" w:space="0" w:color="auto"/>
        <w:bottom w:val="none" w:sz="0" w:space="0" w:color="auto"/>
        <w:right w:val="none" w:sz="0" w:space="0" w:color="auto"/>
      </w:divBdr>
    </w:div>
    <w:div w:id="1557666227">
      <w:bodyDiv w:val="1"/>
      <w:marLeft w:val="0"/>
      <w:marRight w:val="0"/>
      <w:marTop w:val="0"/>
      <w:marBottom w:val="0"/>
      <w:divBdr>
        <w:top w:val="none" w:sz="0" w:space="0" w:color="auto"/>
        <w:left w:val="none" w:sz="0" w:space="0" w:color="auto"/>
        <w:bottom w:val="none" w:sz="0" w:space="0" w:color="auto"/>
        <w:right w:val="none" w:sz="0" w:space="0" w:color="auto"/>
      </w:divBdr>
    </w:div>
    <w:div w:id="1563062097">
      <w:bodyDiv w:val="1"/>
      <w:marLeft w:val="0"/>
      <w:marRight w:val="0"/>
      <w:marTop w:val="0"/>
      <w:marBottom w:val="0"/>
      <w:divBdr>
        <w:top w:val="none" w:sz="0" w:space="0" w:color="auto"/>
        <w:left w:val="none" w:sz="0" w:space="0" w:color="auto"/>
        <w:bottom w:val="none" w:sz="0" w:space="0" w:color="auto"/>
        <w:right w:val="none" w:sz="0" w:space="0" w:color="auto"/>
      </w:divBdr>
    </w:div>
    <w:div w:id="1570652924">
      <w:bodyDiv w:val="1"/>
      <w:marLeft w:val="0"/>
      <w:marRight w:val="0"/>
      <w:marTop w:val="0"/>
      <w:marBottom w:val="0"/>
      <w:divBdr>
        <w:top w:val="none" w:sz="0" w:space="0" w:color="auto"/>
        <w:left w:val="none" w:sz="0" w:space="0" w:color="auto"/>
        <w:bottom w:val="none" w:sz="0" w:space="0" w:color="auto"/>
        <w:right w:val="none" w:sz="0" w:space="0" w:color="auto"/>
      </w:divBdr>
    </w:div>
    <w:div w:id="1574777580">
      <w:bodyDiv w:val="1"/>
      <w:marLeft w:val="0"/>
      <w:marRight w:val="0"/>
      <w:marTop w:val="0"/>
      <w:marBottom w:val="0"/>
      <w:divBdr>
        <w:top w:val="none" w:sz="0" w:space="0" w:color="auto"/>
        <w:left w:val="none" w:sz="0" w:space="0" w:color="auto"/>
        <w:bottom w:val="none" w:sz="0" w:space="0" w:color="auto"/>
        <w:right w:val="none" w:sz="0" w:space="0" w:color="auto"/>
      </w:divBdr>
    </w:div>
    <w:div w:id="1596211065">
      <w:bodyDiv w:val="1"/>
      <w:marLeft w:val="0"/>
      <w:marRight w:val="0"/>
      <w:marTop w:val="0"/>
      <w:marBottom w:val="0"/>
      <w:divBdr>
        <w:top w:val="none" w:sz="0" w:space="0" w:color="auto"/>
        <w:left w:val="none" w:sz="0" w:space="0" w:color="auto"/>
        <w:bottom w:val="none" w:sz="0" w:space="0" w:color="auto"/>
        <w:right w:val="none" w:sz="0" w:space="0" w:color="auto"/>
      </w:divBdr>
    </w:div>
    <w:div w:id="1599214701">
      <w:bodyDiv w:val="1"/>
      <w:marLeft w:val="0"/>
      <w:marRight w:val="0"/>
      <w:marTop w:val="0"/>
      <w:marBottom w:val="0"/>
      <w:divBdr>
        <w:top w:val="none" w:sz="0" w:space="0" w:color="auto"/>
        <w:left w:val="none" w:sz="0" w:space="0" w:color="auto"/>
        <w:bottom w:val="none" w:sz="0" w:space="0" w:color="auto"/>
        <w:right w:val="none" w:sz="0" w:space="0" w:color="auto"/>
      </w:divBdr>
    </w:div>
    <w:div w:id="1604459708">
      <w:bodyDiv w:val="1"/>
      <w:marLeft w:val="0"/>
      <w:marRight w:val="0"/>
      <w:marTop w:val="0"/>
      <w:marBottom w:val="0"/>
      <w:divBdr>
        <w:top w:val="none" w:sz="0" w:space="0" w:color="auto"/>
        <w:left w:val="none" w:sz="0" w:space="0" w:color="auto"/>
        <w:bottom w:val="none" w:sz="0" w:space="0" w:color="auto"/>
        <w:right w:val="none" w:sz="0" w:space="0" w:color="auto"/>
      </w:divBdr>
    </w:div>
    <w:div w:id="1617105496">
      <w:bodyDiv w:val="1"/>
      <w:marLeft w:val="0"/>
      <w:marRight w:val="0"/>
      <w:marTop w:val="0"/>
      <w:marBottom w:val="0"/>
      <w:divBdr>
        <w:top w:val="none" w:sz="0" w:space="0" w:color="auto"/>
        <w:left w:val="none" w:sz="0" w:space="0" w:color="auto"/>
        <w:bottom w:val="none" w:sz="0" w:space="0" w:color="auto"/>
        <w:right w:val="none" w:sz="0" w:space="0" w:color="auto"/>
      </w:divBdr>
    </w:div>
    <w:div w:id="1620528103">
      <w:bodyDiv w:val="1"/>
      <w:marLeft w:val="0"/>
      <w:marRight w:val="0"/>
      <w:marTop w:val="0"/>
      <w:marBottom w:val="0"/>
      <w:divBdr>
        <w:top w:val="none" w:sz="0" w:space="0" w:color="auto"/>
        <w:left w:val="none" w:sz="0" w:space="0" w:color="auto"/>
        <w:bottom w:val="none" w:sz="0" w:space="0" w:color="auto"/>
        <w:right w:val="none" w:sz="0" w:space="0" w:color="auto"/>
      </w:divBdr>
    </w:div>
    <w:div w:id="1631936866">
      <w:bodyDiv w:val="1"/>
      <w:marLeft w:val="0"/>
      <w:marRight w:val="0"/>
      <w:marTop w:val="0"/>
      <w:marBottom w:val="0"/>
      <w:divBdr>
        <w:top w:val="none" w:sz="0" w:space="0" w:color="auto"/>
        <w:left w:val="none" w:sz="0" w:space="0" w:color="auto"/>
        <w:bottom w:val="none" w:sz="0" w:space="0" w:color="auto"/>
        <w:right w:val="none" w:sz="0" w:space="0" w:color="auto"/>
      </w:divBdr>
    </w:div>
    <w:div w:id="1648241330">
      <w:bodyDiv w:val="1"/>
      <w:marLeft w:val="0"/>
      <w:marRight w:val="0"/>
      <w:marTop w:val="0"/>
      <w:marBottom w:val="0"/>
      <w:divBdr>
        <w:top w:val="none" w:sz="0" w:space="0" w:color="auto"/>
        <w:left w:val="none" w:sz="0" w:space="0" w:color="auto"/>
        <w:bottom w:val="none" w:sz="0" w:space="0" w:color="auto"/>
        <w:right w:val="none" w:sz="0" w:space="0" w:color="auto"/>
      </w:divBdr>
    </w:div>
    <w:div w:id="1657028007">
      <w:bodyDiv w:val="1"/>
      <w:marLeft w:val="0"/>
      <w:marRight w:val="0"/>
      <w:marTop w:val="0"/>
      <w:marBottom w:val="0"/>
      <w:divBdr>
        <w:top w:val="none" w:sz="0" w:space="0" w:color="auto"/>
        <w:left w:val="none" w:sz="0" w:space="0" w:color="auto"/>
        <w:bottom w:val="none" w:sz="0" w:space="0" w:color="auto"/>
        <w:right w:val="none" w:sz="0" w:space="0" w:color="auto"/>
      </w:divBdr>
    </w:div>
    <w:div w:id="1657109090">
      <w:bodyDiv w:val="1"/>
      <w:marLeft w:val="0"/>
      <w:marRight w:val="0"/>
      <w:marTop w:val="0"/>
      <w:marBottom w:val="0"/>
      <w:divBdr>
        <w:top w:val="none" w:sz="0" w:space="0" w:color="auto"/>
        <w:left w:val="none" w:sz="0" w:space="0" w:color="auto"/>
        <w:bottom w:val="none" w:sz="0" w:space="0" w:color="auto"/>
        <w:right w:val="none" w:sz="0" w:space="0" w:color="auto"/>
      </w:divBdr>
    </w:div>
    <w:div w:id="1672373554">
      <w:bodyDiv w:val="1"/>
      <w:marLeft w:val="0"/>
      <w:marRight w:val="0"/>
      <w:marTop w:val="0"/>
      <w:marBottom w:val="0"/>
      <w:divBdr>
        <w:top w:val="none" w:sz="0" w:space="0" w:color="auto"/>
        <w:left w:val="none" w:sz="0" w:space="0" w:color="auto"/>
        <w:bottom w:val="none" w:sz="0" w:space="0" w:color="auto"/>
        <w:right w:val="none" w:sz="0" w:space="0" w:color="auto"/>
      </w:divBdr>
    </w:div>
    <w:div w:id="1677688700">
      <w:bodyDiv w:val="1"/>
      <w:marLeft w:val="0"/>
      <w:marRight w:val="0"/>
      <w:marTop w:val="0"/>
      <w:marBottom w:val="0"/>
      <w:divBdr>
        <w:top w:val="none" w:sz="0" w:space="0" w:color="auto"/>
        <w:left w:val="none" w:sz="0" w:space="0" w:color="auto"/>
        <w:bottom w:val="none" w:sz="0" w:space="0" w:color="auto"/>
        <w:right w:val="none" w:sz="0" w:space="0" w:color="auto"/>
      </w:divBdr>
    </w:div>
    <w:div w:id="1677877935">
      <w:bodyDiv w:val="1"/>
      <w:marLeft w:val="0"/>
      <w:marRight w:val="0"/>
      <w:marTop w:val="0"/>
      <w:marBottom w:val="0"/>
      <w:divBdr>
        <w:top w:val="none" w:sz="0" w:space="0" w:color="auto"/>
        <w:left w:val="none" w:sz="0" w:space="0" w:color="auto"/>
        <w:bottom w:val="none" w:sz="0" w:space="0" w:color="auto"/>
        <w:right w:val="none" w:sz="0" w:space="0" w:color="auto"/>
      </w:divBdr>
    </w:div>
    <w:div w:id="1708526863">
      <w:bodyDiv w:val="1"/>
      <w:marLeft w:val="0"/>
      <w:marRight w:val="0"/>
      <w:marTop w:val="0"/>
      <w:marBottom w:val="0"/>
      <w:divBdr>
        <w:top w:val="none" w:sz="0" w:space="0" w:color="auto"/>
        <w:left w:val="none" w:sz="0" w:space="0" w:color="auto"/>
        <w:bottom w:val="none" w:sz="0" w:space="0" w:color="auto"/>
        <w:right w:val="none" w:sz="0" w:space="0" w:color="auto"/>
      </w:divBdr>
    </w:div>
    <w:div w:id="1723476642">
      <w:bodyDiv w:val="1"/>
      <w:marLeft w:val="0"/>
      <w:marRight w:val="0"/>
      <w:marTop w:val="0"/>
      <w:marBottom w:val="0"/>
      <w:divBdr>
        <w:top w:val="none" w:sz="0" w:space="0" w:color="auto"/>
        <w:left w:val="none" w:sz="0" w:space="0" w:color="auto"/>
        <w:bottom w:val="none" w:sz="0" w:space="0" w:color="auto"/>
        <w:right w:val="none" w:sz="0" w:space="0" w:color="auto"/>
      </w:divBdr>
    </w:div>
    <w:div w:id="1725790159">
      <w:bodyDiv w:val="1"/>
      <w:marLeft w:val="0"/>
      <w:marRight w:val="0"/>
      <w:marTop w:val="0"/>
      <w:marBottom w:val="0"/>
      <w:divBdr>
        <w:top w:val="none" w:sz="0" w:space="0" w:color="auto"/>
        <w:left w:val="none" w:sz="0" w:space="0" w:color="auto"/>
        <w:bottom w:val="none" w:sz="0" w:space="0" w:color="auto"/>
        <w:right w:val="none" w:sz="0" w:space="0" w:color="auto"/>
      </w:divBdr>
    </w:div>
    <w:div w:id="1726492491">
      <w:bodyDiv w:val="1"/>
      <w:marLeft w:val="0"/>
      <w:marRight w:val="0"/>
      <w:marTop w:val="0"/>
      <w:marBottom w:val="0"/>
      <w:divBdr>
        <w:top w:val="none" w:sz="0" w:space="0" w:color="auto"/>
        <w:left w:val="none" w:sz="0" w:space="0" w:color="auto"/>
        <w:bottom w:val="none" w:sz="0" w:space="0" w:color="auto"/>
        <w:right w:val="none" w:sz="0" w:space="0" w:color="auto"/>
      </w:divBdr>
    </w:div>
    <w:div w:id="1754466794">
      <w:bodyDiv w:val="1"/>
      <w:marLeft w:val="0"/>
      <w:marRight w:val="0"/>
      <w:marTop w:val="0"/>
      <w:marBottom w:val="0"/>
      <w:divBdr>
        <w:top w:val="none" w:sz="0" w:space="0" w:color="auto"/>
        <w:left w:val="none" w:sz="0" w:space="0" w:color="auto"/>
        <w:bottom w:val="none" w:sz="0" w:space="0" w:color="auto"/>
        <w:right w:val="none" w:sz="0" w:space="0" w:color="auto"/>
      </w:divBdr>
    </w:div>
    <w:div w:id="1756786083">
      <w:bodyDiv w:val="1"/>
      <w:marLeft w:val="0"/>
      <w:marRight w:val="0"/>
      <w:marTop w:val="0"/>
      <w:marBottom w:val="0"/>
      <w:divBdr>
        <w:top w:val="none" w:sz="0" w:space="0" w:color="auto"/>
        <w:left w:val="none" w:sz="0" w:space="0" w:color="auto"/>
        <w:bottom w:val="none" w:sz="0" w:space="0" w:color="auto"/>
        <w:right w:val="none" w:sz="0" w:space="0" w:color="auto"/>
      </w:divBdr>
    </w:div>
    <w:div w:id="1774789286">
      <w:bodyDiv w:val="1"/>
      <w:marLeft w:val="0"/>
      <w:marRight w:val="0"/>
      <w:marTop w:val="0"/>
      <w:marBottom w:val="0"/>
      <w:divBdr>
        <w:top w:val="none" w:sz="0" w:space="0" w:color="auto"/>
        <w:left w:val="none" w:sz="0" w:space="0" w:color="auto"/>
        <w:bottom w:val="none" w:sz="0" w:space="0" w:color="auto"/>
        <w:right w:val="none" w:sz="0" w:space="0" w:color="auto"/>
      </w:divBdr>
    </w:div>
    <w:div w:id="1782455065">
      <w:bodyDiv w:val="1"/>
      <w:marLeft w:val="0"/>
      <w:marRight w:val="0"/>
      <w:marTop w:val="0"/>
      <w:marBottom w:val="0"/>
      <w:divBdr>
        <w:top w:val="none" w:sz="0" w:space="0" w:color="auto"/>
        <w:left w:val="none" w:sz="0" w:space="0" w:color="auto"/>
        <w:bottom w:val="none" w:sz="0" w:space="0" w:color="auto"/>
        <w:right w:val="none" w:sz="0" w:space="0" w:color="auto"/>
      </w:divBdr>
    </w:div>
    <w:div w:id="1783263270">
      <w:bodyDiv w:val="1"/>
      <w:marLeft w:val="0"/>
      <w:marRight w:val="0"/>
      <w:marTop w:val="0"/>
      <w:marBottom w:val="0"/>
      <w:divBdr>
        <w:top w:val="none" w:sz="0" w:space="0" w:color="auto"/>
        <w:left w:val="none" w:sz="0" w:space="0" w:color="auto"/>
        <w:bottom w:val="none" w:sz="0" w:space="0" w:color="auto"/>
        <w:right w:val="none" w:sz="0" w:space="0" w:color="auto"/>
      </w:divBdr>
    </w:div>
    <w:div w:id="1783450539">
      <w:bodyDiv w:val="1"/>
      <w:marLeft w:val="0"/>
      <w:marRight w:val="0"/>
      <w:marTop w:val="0"/>
      <w:marBottom w:val="0"/>
      <w:divBdr>
        <w:top w:val="none" w:sz="0" w:space="0" w:color="auto"/>
        <w:left w:val="none" w:sz="0" w:space="0" w:color="auto"/>
        <w:bottom w:val="none" w:sz="0" w:space="0" w:color="auto"/>
        <w:right w:val="none" w:sz="0" w:space="0" w:color="auto"/>
      </w:divBdr>
    </w:div>
    <w:div w:id="1794590566">
      <w:bodyDiv w:val="1"/>
      <w:marLeft w:val="0"/>
      <w:marRight w:val="0"/>
      <w:marTop w:val="0"/>
      <w:marBottom w:val="0"/>
      <w:divBdr>
        <w:top w:val="none" w:sz="0" w:space="0" w:color="auto"/>
        <w:left w:val="none" w:sz="0" w:space="0" w:color="auto"/>
        <w:bottom w:val="none" w:sz="0" w:space="0" w:color="auto"/>
        <w:right w:val="none" w:sz="0" w:space="0" w:color="auto"/>
      </w:divBdr>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
    <w:div w:id="1806502718">
      <w:bodyDiv w:val="1"/>
      <w:marLeft w:val="0"/>
      <w:marRight w:val="0"/>
      <w:marTop w:val="0"/>
      <w:marBottom w:val="0"/>
      <w:divBdr>
        <w:top w:val="none" w:sz="0" w:space="0" w:color="auto"/>
        <w:left w:val="none" w:sz="0" w:space="0" w:color="auto"/>
        <w:bottom w:val="none" w:sz="0" w:space="0" w:color="auto"/>
        <w:right w:val="none" w:sz="0" w:space="0" w:color="auto"/>
      </w:divBdr>
    </w:div>
    <w:div w:id="1818641220">
      <w:bodyDiv w:val="1"/>
      <w:marLeft w:val="0"/>
      <w:marRight w:val="0"/>
      <w:marTop w:val="0"/>
      <w:marBottom w:val="0"/>
      <w:divBdr>
        <w:top w:val="none" w:sz="0" w:space="0" w:color="auto"/>
        <w:left w:val="none" w:sz="0" w:space="0" w:color="auto"/>
        <w:bottom w:val="none" w:sz="0" w:space="0" w:color="auto"/>
        <w:right w:val="none" w:sz="0" w:space="0" w:color="auto"/>
      </w:divBdr>
    </w:div>
    <w:div w:id="1821387173">
      <w:bodyDiv w:val="1"/>
      <w:marLeft w:val="0"/>
      <w:marRight w:val="0"/>
      <w:marTop w:val="0"/>
      <w:marBottom w:val="0"/>
      <w:divBdr>
        <w:top w:val="none" w:sz="0" w:space="0" w:color="auto"/>
        <w:left w:val="none" w:sz="0" w:space="0" w:color="auto"/>
        <w:bottom w:val="none" w:sz="0" w:space="0" w:color="auto"/>
        <w:right w:val="none" w:sz="0" w:space="0" w:color="auto"/>
      </w:divBdr>
    </w:div>
    <w:div w:id="1827285296">
      <w:bodyDiv w:val="1"/>
      <w:marLeft w:val="0"/>
      <w:marRight w:val="0"/>
      <w:marTop w:val="0"/>
      <w:marBottom w:val="0"/>
      <w:divBdr>
        <w:top w:val="none" w:sz="0" w:space="0" w:color="auto"/>
        <w:left w:val="none" w:sz="0" w:space="0" w:color="auto"/>
        <w:bottom w:val="none" w:sz="0" w:space="0" w:color="auto"/>
        <w:right w:val="none" w:sz="0" w:space="0" w:color="auto"/>
      </w:divBdr>
    </w:div>
    <w:div w:id="1843157100">
      <w:bodyDiv w:val="1"/>
      <w:marLeft w:val="0"/>
      <w:marRight w:val="0"/>
      <w:marTop w:val="0"/>
      <w:marBottom w:val="0"/>
      <w:divBdr>
        <w:top w:val="none" w:sz="0" w:space="0" w:color="auto"/>
        <w:left w:val="none" w:sz="0" w:space="0" w:color="auto"/>
        <w:bottom w:val="none" w:sz="0" w:space="0" w:color="auto"/>
        <w:right w:val="none" w:sz="0" w:space="0" w:color="auto"/>
      </w:divBdr>
    </w:div>
    <w:div w:id="1859200796">
      <w:bodyDiv w:val="1"/>
      <w:marLeft w:val="0"/>
      <w:marRight w:val="0"/>
      <w:marTop w:val="0"/>
      <w:marBottom w:val="0"/>
      <w:divBdr>
        <w:top w:val="none" w:sz="0" w:space="0" w:color="auto"/>
        <w:left w:val="none" w:sz="0" w:space="0" w:color="auto"/>
        <w:bottom w:val="none" w:sz="0" w:space="0" w:color="auto"/>
        <w:right w:val="none" w:sz="0" w:space="0" w:color="auto"/>
      </w:divBdr>
    </w:div>
    <w:div w:id="1865359855">
      <w:bodyDiv w:val="1"/>
      <w:marLeft w:val="0"/>
      <w:marRight w:val="0"/>
      <w:marTop w:val="0"/>
      <w:marBottom w:val="0"/>
      <w:divBdr>
        <w:top w:val="none" w:sz="0" w:space="0" w:color="auto"/>
        <w:left w:val="none" w:sz="0" w:space="0" w:color="auto"/>
        <w:bottom w:val="none" w:sz="0" w:space="0" w:color="auto"/>
        <w:right w:val="none" w:sz="0" w:space="0" w:color="auto"/>
      </w:divBdr>
    </w:div>
    <w:div w:id="1865745684">
      <w:bodyDiv w:val="1"/>
      <w:marLeft w:val="0"/>
      <w:marRight w:val="0"/>
      <w:marTop w:val="0"/>
      <w:marBottom w:val="0"/>
      <w:divBdr>
        <w:top w:val="none" w:sz="0" w:space="0" w:color="auto"/>
        <w:left w:val="none" w:sz="0" w:space="0" w:color="auto"/>
        <w:bottom w:val="none" w:sz="0" w:space="0" w:color="auto"/>
        <w:right w:val="none" w:sz="0" w:space="0" w:color="auto"/>
      </w:divBdr>
    </w:div>
    <w:div w:id="1875148638">
      <w:bodyDiv w:val="1"/>
      <w:marLeft w:val="0"/>
      <w:marRight w:val="0"/>
      <w:marTop w:val="0"/>
      <w:marBottom w:val="0"/>
      <w:divBdr>
        <w:top w:val="none" w:sz="0" w:space="0" w:color="auto"/>
        <w:left w:val="none" w:sz="0" w:space="0" w:color="auto"/>
        <w:bottom w:val="none" w:sz="0" w:space="0" w:color="auto"/>
        <w:right w:val="none" w:sz="0" w:space="0" w:color="auto"/>
      </w:divBdr>
    </w:div>
    <w:div w:id="1877960931">
      <w:bodyDiv w:val="1"/>
      <w:marLeft w:val="0"/>
      <w:marRight w:val="0"/>
      <w:marTop w:val="0"/>
      <w:marBottom w:val="0"/>
      <w:divBdr>
        <w:top w:val="none" w:sz="0" w:space="0" w:color="auto"/>
        <w:left w:val="none" w:sz="0" w:space="0" w:color="auto"/>
        <w:bottom w:val="none" w:sz="0" w:space="0" w:color="auto"/>
        <w:right w:val="none" w:sz="0" w:space="0" w:color="auto"/>
      </w:divBdr>
    </w:div>
    <w:div w:id="1897817291">
      <w:bodyDiv w:val="1"/>
      <w:marLeft w:val="0"/>
      <w:marRight w:val="0"/>
      <w:marTop w:val="0"/>
      <w:marBottom w:val="0"/>
      <w:divBdr>
        <w:top w:val="none" w:sz="0" w:space="0" w:color="auto"/>
        <w:left w:val="none" w:sz="0" w:space="0" w:color="auto"/>
        <w:bottom w:val="none" w:sz="0" w:space="0" w:color="auto"/>
        <w:right w:val="none" w:sz="0" w:space="0" w:color="auto"/>
      </w:divBdr>
    </w:div>
    <w:div w:id="1898081799">
      <w:bodyDiv w:val="1"/>
      <w:marLeft w:val="0"/>
      <w:marRight w:val="0"/>
      <w:marTop w:val="0"/>
      <w:marBottom w:val="0"/>
      <w:divBdr>
        <w:top w:val="none" w:sz="0" w:space="0" w:color="auto"/>
        <w:left w:val="none" w:sz="0" w:space="0" w:color="auto"/>
        <w:bottom w:val="none" w:sz="0" w:space="0" w:color="auto"/>
        <w:right w:val="none" w:sz="0" w:space="0" w:color="auto"/>
      </w:divBdr>
    </w:div>
    <w:div w:id="1913273572">
      <w:bodyDiv w:val="1"/>
      <w:marLeft w:val="0"/>
      <w:marRight w:val="0"/>
      <w:marTop w:val="0"/>
      <w:marBottom w:val="0"/>
      <w:divBdr>
        <w:top w:val="none" w:sz="0" w:space="0" w:color="auto"/>
        <w:left w:val="none" w:sz="0" w:space="0" w:color="auto"/>
        <w:bottom w:val="none" w:sz="0" w:space="0" w:color="auto"/>
        <w:right w:val="none" w:sz="0" w:space="0" w:color="auto"/>
      </w:divBdr>
    </w:div>
    <w:div w:id="1927377160">
      <w:bodyDiv w:val="1"/>
      <w:marLeft w:val="0"/>
      <w:marRight w:val="0"/>
      <w:marTop w:val="0"/>
      <w:marBottom w:val="0"/>
      <w:divBdr>
        <w:top w:val="none" w:sz="0" w:space="0" w:color="auto"/>
        <w:left w:val="none" w:sz="0" w:space="0" w:color="auto"/>
        <w:bottom w:val="none" w:sz="0" w:space="0" w:color="auto"/>
        <w:right w:val="none" w:sz="0" w:space="0" w:color="auto"/>
      </w:divBdr>
    </w:div>
    <w:div w:id="1936858142">
      <w:bodyDiv w:val="1"/>
      <w:marLeft w:val="0"/>
      <w:marRight w:val="0"/>
      <w:marTop w:val="0"/>
      <w:marBottom w:val="0"/>
      <w:divBdr>
        <w:top w:val="none" w:sz="0" w:space="0" w:color="auto"/>
        <w:left w:val="none" w:sz="0" w:space="0" w:color="auto"/>
        <w:bottom w:val="none" w:sz="0" w:space="0" w:color="auto"/>
        <w:right w:val="none" w:sz="0" w:space="0" w:color="auto"/>
      </w:divBdr>
    </w:div>
    <w:div w:id="1937786935">
      <w:bodyDiv w:val="1"/>
      <w:marLeft w:val="0"/>
      <w:marRight w:val="0"/>
      <w:marTop w:val="0"/>
      <w:marBottom w:val="0"/>
      <w:divBdr>
        <w:top w:val="none" w:sz="0" w:space="0" w:color="auto"/>
        <w:left w:val="none" w:sz="0" w:space="0" w:color="auto"/>
        <w:bottom w:val="none" w:sz="0" w:space="0" w:color="auto"/>
        <w:right w:val="none" w:sz="0" w:space="0" w:color="auto"/>
      </w:divBdr>
    </w:div>
    <w:div w:id="1943102496">
      <w:bodyDiv w:val="1"/>
      <w:marLeft w:val="0"/>
      <w:marRight w:val="0"/>
      <w:marTop w:val="0"/>
      <w:marBottom w:val="0"/>
      <w:divBdr>
        <w:top w:val="none" w:sz="0" w:space="0" w:color="auto"/>
        <w:left w:val="none" w:sz="0" w:space="0" w:color="auto"/>
        <w:bottom w:val="none" w:sz="0" w:space="0" w:color="auto"/>
        <w:right w:val="none" w:sz="0" w:space="0" w:color="auto"/>
      </w:divBdr>
    </w:div>
    <w:div w:id="1950119343">
      <w:bodyDiv w:val="1"/>
      <w:marLeft w:val="0"/>
      <w:marRight w:val="0"/>
      <w:marTop w:val="0"/>
      <w:marBottom w:val="0"/>
      <w:divBdr>
        <w:top w:val="none" w:sz="0" w:space="0" w:color="auto"/>
        <w:left w:val="none" w:sz="0" w:space="0" w:color="auto"/>
        <w:bottom w:val="none" w:sz="0" w:space="0" w:color="auto"/>
        <w:right w:val="none" w:sz="0" w:space="0" w:color="auto"/>
      </w:divBdr>
    </w:div>
    <w:div w:id="1970235414">
      <w:bodyDiv w:val="1"/>
      <w:marLeft w:val="0"/>
      <w:marRight w:val="0"/>
      <w:marTop w:val="0"/>
      <w:marBottom w:val="0"/>
      <w:divBdr>
        <w:top w:val="none" w:sz="0" w:space="0" w:color="auto"/>
        <w:left w:val="none" w:sz="0" w:space="0" w:color="auto"/>
        <w:bottom w:val="none" w:sz="0" w:space="0" w:color="auto"/>
        <w:right w:val="none" w:sz="0" w:space="0" w:color="auto"/>
      </w:divBdr>
    </w:div>
    <w:div w:id="1982268635">
      <w:bodyDiv w:val="1"/>
      <w:marLeft w:val="0"/>
      <w:marRight w:val="0"/>
      <w:marTop w:val="0"/>
      <w:marBottom w:val="0"/>
      <w:divBdr>
        <w:top w:val="none" w:sz="0" w:space="0" w:color="auto"/>
        <w:left w:val="none" w:sz="0" w:space="0" w:color="auto"/>
        <w:bottom w:val="none" w:sz="0" w:space="0" w:color="auto"/>
        <w:right w:val="none" w:sz="0" w:space="0" w:color="auto"/>
      </w:divBdr>
    </w:div>
    <w:div w:id="1988776938">
      <w:bodyDiv w:val="1"/>
      <w:marLeft w:val="0"/>
      <w:marRight w:val="0"/>
      <w:marTop w:val="0"/>
      <w:marBottom w:val="0"/>
      <w:divBdr>
        <w:top w:val="none" w:sz="0" w:space="0" w:color="auto"/>
        <w:left w:val="none" w:sz="0" w:space="0" w:color="auto"/>
        <w:bottom w:val="none" w:sz="0" w:space="0" w:color="auto"/>
        <w:right w:val="none" w:sz="0" w:space="0" w:color="auto"/>
      </w:divBdr>
    </w:div>
    <w:div w:id="1990598653">
      <w:bodyDiv w:val="1"/>
      <w:marLeft w:val="0"/>
      <w:marRight w:val="0"/>
      <w:marTop w:val="0"/>
      <w:marBottom w:val="0"/>
      <w:divBdr>
        <w:top w:val="none" w:sz="0" w:space="0" w:color="auto"/>
        <w:left w:val="none" w:sz="0" w:space="0" w:color="auto"/>
        <w:bottom w:val="none" w:sz="0" w:space="0" w:color="auto"/>
        <w:right w:val="none" w:sz="0" w:space="0" w:color="auto"/>
      </w:divBdr>
    </w:div>
    <w:div w:id="2000376745">
      <w:bodyDiv w:val="1"/>
      <w:marLeft w:val="0"/>
      <w:marRight w:val="0"/>
      <w:marTop w:val="0"/>
      <w:marBottom w:val="0"/>
      <w:divBdr>
        <w:top w:val="none" w:sz="0" w:space="0" w:color="auto"/>
        <w:left w:val="none" w:sz="0" w:space="0" w:color="auto"/>
        <w:bottom w:val="none" w:sz="0" w:space="0" w:color="auto"/>
        <w:right w:val="none" w:sz="0" w:space="0" w:color="auto"/>
      </w:divBdr>
    </w:div>
    <w:div w:id="2006786047">
      <w:bodyDiv w:val="1"/>
      <w:marLeft w:val="0"/>
      <w:marRight w:val="0"/>
      <w:marTop w:val="0"/>
      <w:marBottom w:val="0"/>
      <w:divBdr>
        <w:top w:val="none" w:sz="0" w:space="0" w:color="auto"/>
        <w:left w:val="none" w:sz="0" w:space="0" w:color="auto"/>
        <w:bottom w:val="none" w:sz="0" w:space="0" w:color="auto"/>
        <w:right w:val="none" w:sz="0" w:space="0" w:color="auto"/>
      </w:divBdr>
    </w:div>
    <w:div w:id="2018195592">
      <w:bodyDiv w:val="1"/>
      <w:marLeft w:val="0"/>
      <w:marRight w:val="0"/>
      <w:marTop w:val="0"/>
      <w:marBottom w:val="0"/>
      <w:divBdr>
        <w:top w:val="none" w:sz="0" w:space="0" w:color="auto"/>
        <w:left w:val="none" w:sz="0" w:space="0" w:color="auto"/>
        <w:bottom w:val="none" w:sz="0" w:space="0" w:color="auto"/>
        <w:right w:val="none" w:sz="0" w:space="0" w:color="auto"/>
      </w:divBdr>
    </w:div>
    <w:div w:id="2088068606">
      <w:bodyDiv w:val="1"/>
      <w:marLeft w:val="0"/>
      <w:marRight w:val="0"/>
      <w:marTop w:val="0"/>
      <w:marBottom w:val="0"/>
      <w:divBdr>
        <w:top w:val="none" w:sz="0" w:space="0" w:color="auto"/>
        <w:left w:val="none" w:sz="0" w:space="0" w:color="auto"/>
        <w:bottom w:val="none" w:sz="0" w:space="0" w:color="auto"/>
        <w:right w:val="none" w:sz="0" w:space="0" w:color="auto"/>
      </w:divBdr>
    </w:div>
    <w:div w:id="2120029849">
      <w:bodyDiv w:val="1"/>
      <w:marLeft w:val="0"/>
      <w:marRight w:val="0"/>
      <w:marTop w:val="0"/>
      <w:marBottom w:val="0"/>
      <w:divBdr>
        <w:top w:val="none" w:sz="0" w:space="0" w:color="auto"/>
        <w:left w:val="none" w:sz="0" w:space="0" w:color="auto"/>
        <w:bottom w:val="none" w:sz="0" w:space="0" w:color="auto"/>
        <w:right w:val="none" w:sz="0" w:space="0" w:color="auto"/>
      </w:divBdr>
    </w:div>
    <w:div w:id="213675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9-0008-6355-156X"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9-0000-4600-5374"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4923-2625"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s://orcid.org/0000-0002-9247-1728"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orcid.org/0000-0002-7620-4582" TargetMode="External"/><Relationship Id="rId14" Type="http://schemas.openxmlformats.org/officeDocument/2006/relationships/hyperlink" Target="https://www.scopus.com"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orcid.org/0009-0003-0147-8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99016-7D60-4102-8A37-97D3D748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36114</Words>
  <Characters>205853</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Devra</dc:creator>
  <cp:keywords/>
  <dc:description/>
  <cp:lastModifiedBy>Sahil</cp:lastModifiedBy>
  <cp:revision>2</cp:revision>
  <cp:lastPrinted>2025-06-02T04:05:00Z</cp:lastPrinted>
  <dcterms:created xsi:type="dcterms:W3CDTF">2026-04-04T05:53:00Z</dcterms:created>
  <dcterms:modified xsi:type="dcterms:W3CDTF">2026-04-04T05:53:00Z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id="5JXIUwDs"/&gt;&lt;style id="http://www.zotero.org/styles/apa" locale="en-US" hasBibliography="1" bibliographyStyleHasBeenSet="1"/&gt;&lt;prefs&gt;&lt;pref name="fieldType" value="Field"/&gt;&lt;/prefs&gt;&lt;/data&gt;</vt:lpwstr>
  </property>
</Properties>
</file>